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69A" w:rsidRDefault="00446E3A" w:rsidP="004B169A">
      <w:pPr>
        <w:suppressAutoHyphens w:val="0"/>
        <w:autoSpaceDE w:val="0"/>
        <w:autoSpaceDN w:val="0"/>
        <w:adjustRightInd w:val="0"/>
        <w:rPr>
          <w:rFonts w:ascii="Cambria" w:hAnsi="Cambria" w:cs="Arial-BoldMT"/>
          <w:bCs/>
          <w:sz w:val="20"/>
          <w:szCs w:val="20"/>
          <w:lang w:eastAsia="en-US"/>
        </w:rPr>
      </w:pPr>
      <w:r w:rsidRPr="00446E3A">
        <w:rPr>
          <w:rFonts w:ascii="Cambria" w:hAnsi="Cambria" w:cs="Arial-BoldMT"/>
          <w:b/>
          <w:bCs/>
          <w:sz w:val="20"/>
          <w:szCs w:val="20"/>
          <w:u w:val="single"/>
          <w:lang w:eastAsia="en-US"/>
        </w:rPr>
        <w:t>Title</w:t>
      </w:r>
      <w:r>
        <w:rPr>
          <w:rFonts w:ascii="Cambria" w:hAnsi="Cambria" w:cs="Arial-BoldMT"/>
          <w:bCs/>
          <w:sz w:val="20"/>
          <w:szCs w:val="20"/>
          <w:lang w:eastAsia="en-US"/>
        </w:rPr>
        <w:t xml:space="preserve">: </w:t>
      </w:r>
      <w:r w:rsidR="004B169A">
        <w:rPr>
          <w:rFonts w:ascii="Cambria" w:hAnsi="Cambria" w:cs="Arial-BoldMT"/>
          <w:bCs/>
          <w:sz w:val="20"/>
          <w:szCs w:val="20"/>
          <w:lang w:eastAsia="en-US"/>
        </w:rPr>
        <w:t>“</w:t>
      </w:r>
      <w:r w:rsidR="00584D86">
        <w:rPr>
          <w:rFonts w:ascii="Cambria" w:hAnsi="Cambria" w:cs="Arial-BoldMT"/>
          <w:bCs/>
          <w:sz w:val="20"/>
          <w:szCs w:val="20"/>
          <w:lang w:eastAsia="en-US"/>
        </w:rPr>
        <w:t>A Case of Suspected Urea Cycle Dysfunction in a Patient with N</w:t>
      </w:r>
      <w:r w:rsidR="004B169A" w:rsidRPr="004B169A">
        <w:rPr>
          <w:rFonts w:ascii="Cambria" w:hAnsi="Cambria" w:cs="Arial-BoldMT"/>
          <w:bCs/>
          <w:sz w:val="20"/>
          <w:szCs w:val="20"/>
          <w:lang w:eastAsia="en-US"/>
        </w:rPr>
        <w:t>on-hepatic</w:t>
      </w:r>
      <w:r w:rsidR="004B169A">
        <w:rPr>
          <w:rFonts w:ascii="Cambria" w:hAnsi="Cambria" w:cs="Arial-BoldMT"/>
          <w:bCs/>
          <w:sz w:val="20"/>
          <w:szCs w:val="20"/>
          <w:lang w:eastAsia="en-US"/>
        </w:rPr>
        <w:t xml:space="preserve"> </w:t>
      </w:r>
      <w:proofErr w:type="spellStart"/>
      <w:r w:rsidR="00584D86">
        <w:rPr>
          <w:rFonts w:ascii="Cambria" w:hAnsi="Cambria" w:cs="Arial-BoldMT"/>
          <w:bCs/>
          <w:sz w:val="20"/>
          <w:szCs w:val="20"/>
          <w:lang w:eastAsia="en-US"/>
        </w:rPr>
        <w:t>H</w:t>
      </w:r>
      <w:r w:rsidR="004B169A" w:rsidRPr="004B169A">
        <w:rPr>
          <w:rFonts w:ascii="Cambria" w:hAnsi="Cambria" w:cs="Arial-BoldMT"/>
          <w:bCs/>
          <w:sz w:val="20"/>
          <w:szCs w:val="20"/>
          <w:lang w:eastAsia="en-US"/>
        </w:rPr>
        <w:t>yperammonemia</w:t>
      </w:r>
      <w:proofErr w:type="spellEnd"/>
      <w:r w:rsidR="004B169A">
        <w:rPr>
          <w:rFonts w:ascii="Cambria" w:hAnsi="Cambria" w:cs="Arial-BoldMT"/>
          <w:bCs/>
          <w:sz w:val="20"/>
          <w:szCs w:val="20"/>
          <w:lang w:eastAsia="en-US"/>
        </w:rPr>
        <w:t>”</w:t>
      </w:r>
    </w:p>
    <w:p w:rsidR="004B169A" w:rsidRDefault="004B169A" w:rsidP="004B169A">
      <w:pPr>
        <w:suppressAutoHyphens w:val="0"/>
        <w:autoSpaceDE w:val="0"/>
        <w:autoSpaceDN w:val="0"/>
        <w:adjustRightInd w:val="0"/>
        <w:rPr>
          <w:rFonts w:ascii="Cambria" w:hAnsi="Cambria" w:cs="Arial-BoldMT"/>
          <w:bCs/>
          <w:sz w:val="20"/>
          <w:szCs w:val="20"/>
          <w:lang w:eastAsia="en-US"/>
        </w:rPr>
      </w:pPr>
    </w:p>
    <w:p w:rsidR="004B169A" w:rsidRPr="004B169A" w:rsidRDefault="004B169A" w:rsidP="004B169A">
      <w:pPr>
        <w:suppressAutoHyphens w:val="0"/>
        <w:autoSpaceDE w:val="0"/>
        <w:autoSpaceDN w:val="0"/>
        <w:adjustRightInd w:val="0"/>
        <w:rPr>
          <w:rFonts w:ascii="Cambria" w:hAnsi="Cambria" w:cs="Arial-BoldMT"/>
          <w:bCs/>
          <w:sz w:val="20"/>
          <w:szCs w:val="20"/>
          <w:lang w:eastAsia="en-US"/>
        </w:rPr>
      </w:pPr>
      <w:r w:rsidRPr="004B169A">
        <w:rPr>
          <w:rFonts w:ascii="Cambria" w:hAnsi="Cambria" w:cs="Arial-BoldMT"/>
          <w:b/>
          <w:bCs/>
          <w:sz w:val="20"/>
          <w:szCs w:val="20"/>
          <w:u w:val="single"/>
          <w:lang w:eastAsia="en-US"/>
        </w:rPr>
        <w:t>Authors</w:t>
      </w:r>
      <w:r w:rsidRPr="004B169A">
        <w:rPr>
          <w:rFonts w:ascii="Cambria" w:hAnsi="Cambria" w:cs="Arial-BoldMT"/>
          <w:bCs/>
          <w:sz w:val="20"/>
          <w:szCs w:val="20"/>
          <w:lang w:eastAsia="en-US"/>
        </w:rPr>
        <w:t xml:space="preserve">:  </w:t>
      </w:r>
    </w:p>
    <w:p w:rsidR="004B169A" w:rsidRPr="004B169A" w:rsidRDefault="004B169A" w:rsidP="004B169A">
      <w:pPr>
        <w:suppressAutoHyphens w:val="0"/>
        <w:autoSpaceDE w:val="0"/>
        <w:autoSpaceDN w:val="0"/>
        <w:adjustRightInd w:val="0"/>
        <w:rPr>
          <w:rFonts w:ascii="Cambria" w:hAnsi="Cambria" w:cs="Arial-BoldMT"/>
          <w:bCs/>
          <w:sz w:val="20"/>
          <w:szCs w:val="20"/>
          <w:lang w:eastAsia="en-US"/>
        </w:rPr>
      </w:pPr>
      <w:r w:rsidRPr="004B169A">
        <w:rPr>
          <w:rFonts w:ascii="Cambria" w:hAnsi="Cambria" w:cs="Arial-BoldMT"/>
          <w:bCs/>
          <w:sz w:val="20"/>
          <w:szCs w:val="20"/>
          <w:lang w:eastAsia="en-US"/>
        </w:rPr>
        <w:t xml:space="preserve">Christopher </w:t>
      </w:r>
      <w:proofErr w:type="spellStart"/>
      <w:r w:rsidRPr="004B169A">
        <w:rPr>
          <w:rFonts w:ascii="Cambria" w:hAnsi="Cambria" w:cs="Arial-BoldMT"/>
          <w:bCs/>
          <w:sz w:val="20"/>
          <w:szCs w:val="20"/>
          <w:lang w:eastAsia="en-US"/>
        </w:rPr>
        <w:t>Perrone</w:t>
      </w:r>
      <w:proofErr w:type="spellEnd"/>
      <w:r w:rsidRPr="004B169A">
        <w:rPr>
          <w:rFonts w:ascii="Cambria" w:hAnsi="Cambria" w:cs="Arial-BoldMT"/>
          <w:bCs/>
          <w:sz w:val="20"/>
          <w:szCs w:val="20"/>
          <w:lang w:eastAsia="en-US"/>
        </w:rPr>
        <w:t>, BS</w:t>
      </w:r>
      <w:r w:rsidRPr="004B169A">
        <w:rPr>
          <w:rFonts w:ascii="Cambria" w:hAnsi="Cambria" w:cs="Arial-BoldMT"/>
          <w:bCs/>
          <w:sz w:val="20"/>
          <w:szCs w:val="20"/>
          <w:vertAlign w:val="superscript"/>
          <w:lang w:eastAsia="en-US"/>
        </w:rPr>
        <w:t>1</w:t>
      </w:r>
      <w:r>
        <w:rPr>
          <w:rFonts w:ascii="Cambria" w:hAnsi="Cambria" w:cs="Arial-BoldMT"/>
          <w:bCs/>
          <w:sz w:val="20"/>
          <w:szCs w:val="20"/>
          <w:vertAlign w:val="superscript"/>
          <w:lang w:eastAsia="en-US"/>
        </w:rPr>
        <w:t>*</w:t>
      </w:r>
    </w:p>
    <w:p w:rsidR="004B169A" w:rsidRDefault="004B169A" w:rsidP="004B169A">
      <w:pPr>
        <w:suppressAutoHyphens w:val="0"/>
        <w:autoSpaceDE w:val="0"/>
        <w:autoSpaceDN w:val="0"/>
        <w:adjustRightInd w:val="0"/>
        <w:rPr>
          <w:rFonts w:ascii="Cambria" w:hAnsi="Cambria" w:cs="Arial-BoldMT"/>
          <w:bCs/>
          <w:sz w:val="20"/>
          <w:szCs w:val="20"/>
          <w:lang w:eastAsia="en-US"/>
        </w:rPr>
      </w:pPr>
      <w:r>
        <w:rPr>
          <w:rFonts w:ascii="Cambria" w:hAnsi="Cambria" w:cs="Arial-BoldMT"/>
          <w:bCs/>
          <w:sz w:val="20"/>
          <w:szCs w:val="20"/>
          <w:lang w:eastAsia="en-US"/>
        </w:rPr>
        <w:t xml:space="preserve">Monica </w:t>
      </w:r>
      <w:proofErr w:type="spellStart"/>
      <w:r>
        <w:rPr>
          <w:rFonts w:ascii="Cambria" w:hAnsi="Cambria" w:cs="Arial-BoldMT"/>
          <w:bCs/>
          <w:sz w:val="20"/>
          <w:szCs w:val="20"/>
          <w:lang w:eastAsia="en-US"/>
        </w:rPr>
        <w:t>Makhija</w:t>
      </w:r>
      <w:proofErr w:type="spellEnd"/>
      <w:r>
        <w:rPr>
          <w:rFonts w:ascii="Cambria" w:hAnsi="Cambria" w:cs="Arial-BoldMT"/>
          <w:bCs/>
          <w:sz w:val="20"/>
          <w:szCs w:val="20"/>
          <w:lang w:eastAsia="en-US"/>
        </w:rPr>
        <w:t>, MD</w:t>
      </w:r>
      <w:r w:rsidRPr="004B169A">
        <w:rPr>
          <w:rFonts w:ascii="Cambria" w:hAnsi="Cambria" w:cs="Arial-BoldMT"/>
          <w:bCs/>
          <w:sz w:val="20"/>
          <w:szCs w:val="20"/>
          <w:vertAlign w:val="superscript"/>
          <w:lang w:eastAsia="en-US"/>
        </w:rPr>
        <w:t>1</w:t>
      </w:r>
      <w:r>
        <w:rPr>
          <w:rFonts w:ascii="Cambria" w:hAnsi="Cambria" w:cs="Arial-BoldMT"/>
          <w:bCs/>
          <w:sz w:val="20"/>
          <w:szCs w:val="20"/>
          <w:vertAlign w:val="superscript"/>
          <w:lang w:eastAsia="en-US"/>
        </w:rPr>
        <w:t>*</w:t>
      </w:r>
    </w:p>
    <w:p w:rsidR="004B169A" w:rsidRDefault="004B169A" w:rsidP="004B169A">
      <w:pPr>
        <w:suppressAutoHyphens w:val="0"/>
        <w:autoSpaceDE w:val="0"/>
        <w:autoSpaceDN w:val="0"/>
        <w:adjustRightInd w:val="0"/>
        <w:rPr>
          <w:rFonts w:ascii="Cambria" w:hAnsi="Cambria" w:cs="Arial-BoldMT"/>
          <w:bCs/>
          <w:sz w:val="20"/>
          <w:szCs w:val="20"/>
          <w:vertAlign w:val="superscript"/>
          <w:lang w:eastAsia="en-US"/>
        </w:rPr>
      </w:pPr>
      <w:r>
        <w:rPr>
          <w:rFonts w:ascii="Cambria" w:hAnsi="Cambria" w:cs="Arial-BoldMT"/>
          <w:bCs/>
          <w:sz w:val="20"/>
          <w:szCs w:val="20"/>
          <w:lang w:eastAsia="en-US"/>
        </w:rPr>
        <w:t>Ann Mitchell, MD</w:t>
      </w:r>
      <w:r w:rsidRPr="004B169A">
        <w:rPr>
          <w:rFonts w:ascii="Cambria" w:hAnsi="Cambria" w:cs="Arial-BoldMT"/>
          <w:bCs/>
          <w:sz w:val="20"/>
          <w:szCs w:val="20"/>
          <w:vertAlign w:val="superscript"/>
          <w:lang w:eastAsia="en-US"/>
        </w:rPr>
        <w:t>1</w:t>
      </w:r>
    </w:p>
    <w:p w:rsidR="004B169A" w:rsidRPr="004B169A" w:rsidRDefault="004B169A" w:rsidP="004B169A">
      <w:pPr>
        <w:suppressAutoHyphens w:val="0"/>
        <w:autoSpaceDE w:val="0"/>
        <w:autoSpaceDN w:val="0"/>
        <w:adjustRightInd w:val="0"/>
        <w:rPr>
          <w:rFonts w:ascii="Cambria" w:hAnsi="Cambria" w:cs="Arial-BoldMT"/>
          <w:bCs/>
          <w:sz w:val="20"/>
          <w:szCs w:val="20"/>
          <w:lang w:eastAsia="en-US"/>
        </w:rPr>
      </w:pPr>
      <w:r w:rsidRPr="004B169A">
        <w:rPr>
          <w:rFonts w:ascii="Cambria" w:hAnsi="Cambria" w:cs="Arial-BoldMT"/>
          <w:bCs/>
          <w:sz w:val="20"/>
          <w:szCs w:val="20"/>
          <w:vertAlign w:val="superscript"/>
          <w:lang w:eastAsia="en-US"/>
        </w:rPr>
        <w:t>1</w:t>
      </w:r>
      <w:r w:rsidRPr="004B169A">
        <w:rPr>
          <w:rFonts w:ascii="Cambria" w:hAnsi="Cambria" w:cs="Arial-BoldMT"/>
          <w:bCs/>
          <w:sz w:val="20"/>
          <w:szCs w:val="20"/>
          <w:lang w:eastAsia="en-US"/>
        </w:rPr>
        <w:t xml:space="preserve">Department of Neurology, University of Massachusetts Medical School, Worcester, MA, USA </w:t>
      </w:r>
    </w:p>
    <w:p w:rsidR="004B169A" w:rsidRDefault="004B169A" w:rsidP="004B169A">
      <w:pPr>
        <w:suppressAutoHyphens w:val="0"/>
        <w:autoSpaceDE w:val="0"/>
        <w:autoSpaceDN w:val="0"/>
        <w:adjustRightInd w:val="0"/>
        <w:rPr>
          <w:rFonts w:ascii="Cambria" w:hAnsi="Cambria" w:cs="Arial-BoldMT"/>
          <w:bCs/>
          <w:sz w:val="20"/>
          <w:szCs w:val="20"/>
          <w:lang w:eastAsia="en-US"/>
        </w:rPr>
      </w:pPr>
      <w:r>
        <w:rPr>
          <w:rFonts w:ascii="Cambria" w:hAnsi="Cambria" w:cs="Arial-BoldMT"/>
          <w:bCs/>
          <w:sz w:val="20"/>
          <w:szCs w:val="20"/>
          <w:lang w:eastAsia="en-US"/>
        </w:rPr>
        <w:t>*co-first authorship</w:t>
      </w:r>
    </w:p>
    <w:p w:rsidR="004B169A" w:rsidRPr="004B169A" w:rsidRDefault="004B169A" w:rsidP="004B169A">
      <w:pPr>
        <w:suppressAutoHyphens w:val="0"/>
        <w:autoSpaceDE w:val="0"/>
        <w:autoSpaceDN w:val="0"/>
        <w:adjustRightInd w:val="0"/>
        <w:jc w:val="center"/>
        <w:rPr>
          <w:rFonts w:ascii="Cambria" w:hAnsi="Cambria" w:cs="Arial-BoldMT"/>
          <w:bCs/>
          <w:sz w:val="20"/>
          <w:szCs w:val="20"/>
          <w:lang w:eastAsia="en-US"/>
        </w:rPr>
      </w:pPr>
    </w:p>
    <w:p w:rsidR="00446E3A" w:rsidRDefault="004B169A" w:rsidP="00644BD3">
      <w:pPr>
        <w:suppressAutoHyphens w:val="0"/>
        <w:autoSpaceDE w:val="0"/>
        <w:autoSpaceDN w:val="0"/>
        <w:adjustRightInd w:val="0"/>
        <w:rPr>
          <w:rFonts w:ascii="Cambria" w:hAnsi="Cambria" w:cs="Arial-BoldMT"/>
          <w:b/>
          <w:bCs/>
          <w:sz w:val="20"/>
          <w:szCs w:val="20"/>
          <w:lang w:eastAsia="en-US"/>
        </w:rPr>
      </w:pPr>
      <w:r>
        <w:rPr>
          <w:rFonts w:ascii="Cambria" w:hAnsi="Cambria" w:cs="Arial-BoldMT"/>
          <w:b/>
          <w:bCs/>
          <w:sz w:val="20"/>
          <w:szCs w:val="20"/>
          <w:u w:val="single"/>
          <w:lang w:eastAsia="en-US"/>
        </w:rPr>
        <w:t>Email addresses for correspondence</w:t>
      </w:r>
      <w:r>
        <w:rPr>
          <w:rFonts w:ascii="Cambria" w:hAnsi="Cambria" w:cs="Arial-BoldMT"/>
          <w:b/>
          <w:bCs/>
          <w:sz w:val="20"/>
          <w:szCs w:val="20"/>
          <w:lang w:eastAsia="en-US"/>
        </w:rPr>
        <w:t xml:space="preserve">: </w:t>
      </w:r>
    </w:p>
    <w:p w:rsidR="00446E3A" w:rsidRDefault="00726741" w:rsidP="00644BD3">
      <w:pPr>
        <w:suppressAutoHyphens w:val="0"/>
        <w:autoSpaceDE w:val="0"/>
        <w:autoSpaceDN w:val="0"/>
        <w:adjustRightInd w:val="0"/>
        <w:rPr>
          <w:rFonts w:ascii="Cambria" w:hAnsi="Cambria" w:cs="Arial-BoldMT"/>
          <w:bCs/>
          <w:sz w:val="20"/>
          <w:szCs w:val="20"/>
          <w:lang w:eastAsia="en-US"/>
        </w:rPr>
      </w:pPr>
      <w:hyperlink r:id="rId6" w:history="1">
        <w:r w:rsidR="004B169A" w:rsidRPr="00301A9D">
          <w:rPr>
            <w:rStyle w:val="Hyperlink"/>
            <w:rFonts w:ascii="Cambria" w:hAnsi="Cambria" w:cs="Arial-BoldMT"/>
            <w:bCs/>
            <w:sz w:val="20"/>
            <w:szCs w:val="20"/>
            <w:lang w:eastAsia="en-US"/>
          </w:rPr>
          <w:t>Christopher.Perrone@umassmed.edu</w:t>
        </w:r>
      </w:hyperlink>
    </w:p>
    <w:p w:rsidR="00446E3A" w:rsidRDefault="00726741" w:rsidP="00644BD3">
      <w:pPr>
        <w:suppressAutoHyphens w:val="0"/>
        <w:autoSpaceDE w:val="0"/>
        <w:autoSpaceDN w:val="0"/>
        <w:adjustRightInd w:val="0"/>
        <w:rPr>
          <w:rFonts w:ascii="Cambria" w:hAnsi="Cambria" w:cs="Arial-BoldMT"/>
          <w:bCs/>
          <w:sz w:val="20"/>
          <w:szCs w:val="20"/>
          <w:lang w:eastAsia="en-US"/>
        </w:rPr>
      </w:pPr>
      <w:hyperlink r:id="rId7" w:history="1">
        <w:r w:rsidR="004B169A" w:rsidRPr="00301A9D">
          <w:rPr>
            <w:rStyle w:val="Hyperlink"/>
            <w:rFonts w:ascii="Cambria" w:hAnsi="Cambria" w:cs="Arial-BoldMT"/>
            <w:bCs/>
            <w:sz w:val="20"/>
            <w:szCs w:val="20"/>
            <w:lang w:eastAsia="en-US"/>
          </w:rPr>
          <w:t>makhijma@hotmail.com</w:t>
        </w:r>
      </w:hyperlink>
    </w:p>
    <w:p w:rsidR="004B169A" w:rsidRDefault="00726741" w:rsidP="00644BD3">
      <w:pPr>
        <w:suppressAutoHyphens w:val="0"/>
        <w:autoSpaceDE w:val="0"/>
        <w:autoSpaceDN w:val="0"/>
        <w:adjustRightInd w:val="0"/>
        <w:rPr>
          <w:rFonts w:ascii="Cambria" w:hAnsi="Cambria" w:cs="Arial-BoldMT"/>
          <w:bCs/>
          <w:sz w:val="20"/>
          <w:szCs w:val="20"/>
          <w:lang w:eastAsia="en-US"/>
        </w:rPr>
      </w:pPr>
      <w:hyperlink r:id="rId8" w:history="1">
        <w:r w:rsidR="004B169A" w:rsidRPr="00301A9D">
          <w:rPr>
            <w:rStyle w:val="Hyperlink"/>
            <w:rFonts w:ascii="Cambria" w:hAnsi="Cambria" w:cs="Arial-BoldMT"/>
            <w:bCs/>
            <w:sz w:val="20"/>
            <w:szCs w:val="20"/>
            <w:lang w:eastAsia="en-US"/>
          </w:rPr>
          <w:t>Ann.Mitchell@umassmemorial.org</w:t>
        </w:r>
      </w:hyperlink>
    </w:p>
    <w:p w:rsidR="00446E3A" w:rsidRDefault="00446E3A" w:rsidP="00644BD3">
      <w:pPr>
        <w:suppressAutoHyphens w:val="0"/>
        <w:autoSpaceDE w:val="0"/>
        <w:autoSpaceDN w:val="0"/>
        <w:adjustRightInd w:val="0"/>
        <w:rPr>
          <w:rFonts w:ascii="Cambria" w:hAnsi="Cambria" w:cs="Arial-BoldMT"/>
          <w:bCs/>
          <w:sz w:val="20"/>
          <w:szCs w:val="20"/>
          <w:lang w:eastAsia="en-US"/>
        </w:rPr>
      </w:pPr>
    </w:p>
    <w:p w:rsidR="00446E3A" w:rsidRDefault="00446E3A" w:rsidP="00644BD3">
      <w:pPr>
        <w:suppressAutoHyphens w:val="0"/>
        <w:autoSpaceDE w:val="0"/>
        <w:autoSpaceDN w:val="0"/>
        <w:adjustRightInd w:val="0"/>
        <w:rPr>
          <w:rFonts w:ascii="Cambria" w:hAnsi="Cambria" w:cs="Arial-BoldMT"/>
          <w:bCs/>
          <w:sz w:val="20"/>
          <w:szCs w:val="20"/>
          <w:lang w:eastAsia="en-US"/>
        </w:rPr>
      </w:pPr>
      <w:r w:rsidRPr="00446E3A">
        <w:rPr>
          <w:rFonts w:ascii="Cambria" w:hAnsi="Cambria" w:cs="Arial-BoldMT"/>
          <w:b/>
          <w:bCs/>
          <w:sz w:val="20"/>
          <w:szCs w:val="20"/>
          <w:u w:val="single"/>
          <w:lang w:eastAsia="en-US"/>
        </w:rPr>
        <w:t>Keywords</w:t>
      </w:r>
      <w:r>
        <w:rPr>
          <w:rFonts w:ascii="Cambria" w:hAnsi="Cambria" w:cs="Arial-BoldMT"/>
          <w:bCs/>
          <w:sz w:val="20"/>
          <w:szCs w:val="20"/>
          <w:lang w:eastAsia="en-US"/>
        </w:rPr>
        <w:t xml:space="preserve">: </w:t>
      </w:r>
      <w:proofErr w:type="spellStart"/>
      <w:r>
        <w:rPr>
          <w:rFonts w:ascii="Cambria" w:hAnsi="Cambria" w:cs="Arial-BoldMT"/>
          <w:bCs/>
          <w:sz w:val="20"/>
          <w:szCs w:val="20"/>
          <w:lang w:eastAsia="en-US"/>
        </w:rPr>
        <w:t>Hyperammonemic</w:t>
      </w:r>
      <w:proofErr w:type="spellEnd"/>
      <w:r>
        <w:rPr>
          <w:rFonts w:ascii="Cambria" w:hAnsi="Cambria" w:cs="Arial-BoldMT"/>
          <w:bCs/>
          <w:sz w:val="20"/>
          <w:szCs w:val="20"/>
          <w:lang w:eastAsia="en-US"/>
        </w:rPr>
        <w:t xml:space="preserve"> encephalopathy, urea cycle, inborn errors of metabolism, CPSI, OTC</w:t>
      </w:r>
    </w:p>
    <w:p w:rsidR="004B169A" w:rsidRPr="004B169A" w:rsidRDefault="004B169A" w:rsidP="00644BD3">
      <w:pPr>
        <w:suppressAutoHyphens w:val="0"/>
        <w:autoSpaceDE w:val="0"/>
        <w:autoSpaceDN w:val="0"/>
        <w:adjustRightInd w:val="0"/>
        <w:rPr>
          <w:rFonts w:ascii="Cambria" w:hAnsi="Cambria" w:cs="Arial-BoldMT"/>
          <w:bCs/>
          <w:sz w:val="20"/>
          <w:szCs w:val="20"/>
          <w:lang w:eastAsia="en-US"/>
        </w:rPr>
      </w:pPr>
    </w:p>
    <w:p w:rsidR="004B169A" w:rsidRPr="00446E3A" w:rsidRDefault="00446E3A" w:rsidP="00644BD3">
      <w:pPr>
        <w:suppressAutoHyphens w:val="0"/>
        <w:autoSpaceDE w:val="0"/>
        <w:autoSpaceDN w:val="0"/>
        <w:adjustRightInd w:val="0"/>
        <w:rPr>
          <w:rFonts w:ascii="Cambria" w:hAnsi="Cambria" w:cs="Arial-BoldMT"/>
          <w:b/>
          <w:bCs/>
          <w:sz w:val="20"/>
          <w:szCs w:val="20"/>
          <w:lang w:eastAsia="en-US"/>
        </w:rPr>
      </w:pPr>
      <w:r>
        <w:rPr>
          <w:rFonts w:ascii="Cambria" w:hAnsi="Cambria" w:cs="Arial-BoldMT"/>
          <w:b/>
          <w:bCs/>
          <w:sz w:val="20"/>
          <w:szCs w:val="20"/>
          <w:u w:val="single"/>
          <w:lang w:eastAsia="en-US"/>
        </w:rPr>
        <w:t>Classification</w:t>
      </w:r>
      <w:r>
        <w:rPr>
          <w:rFonts w:ascii="Cambria" w:hAnsi="Cambria" w:cs="Arial-BoldMT"/>
          <w:b/>
          <w:bCs/>
          <w:sz w:val="20"/>
          <w:szCs w:val="20"/>
          <w:lang w:eastAsia="en-US"/>
        </w:rPr>
        <w:t xml:space="preserve">: </w:t>
      </w:r>
      <w:r w:rsidRPr="00446E3A">
        <w:rPr>
          <w:rFonts w:ascii="Cambria" w:hAnsi="Cambria" w:cs="Arial-BoldMT"/>
          <w:bCs/>
          <w:sz w:val="20"/>
          <w:szCs w:val="20"/>
          <w:lang w:eastAsia="en-US"/>
        </w:rPr>
        <w:t>Case Report</w:t>
      </w: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4B169A" w:rsidRDefault="004B169A" w:rsidP="00644BD3">
      <w:pPr>
        <w:suppressAutoHyphens w:val="0"/>
        <w:autoSpaceDE w:val="0"/>
        <w:autoSpaceDN w:val="0"/>
        <w:adjustRightInd w:val="0"/>
        <w:rPr>
          <w:rFonts w:ascii="Cambria" w:hAnsi="Cambria" w:cs="Arial-BoldMT"/>
          <w:b/>
          <w:bCs/>
          <w:sz w:val="20"/>
          <w:szCs w:val="20"/>
          <w:u w:val="single"/>
          <w:lang w:eastAsia="en-US"/>
        </w:rPr>
      </w:pPr>
    </w:p>
    <w:p w:rsidR="005932C8" w:rsidRPr="00315313" w:rsidRDefault="005932C8" w:rsidP="00644BD3">
      <w:pPr>
        <w:suppressAutoHyphens w:val="0"/>
        <w:autoSpaceDE w:val="0"/>
        <w:autoSpaceDN w:val="0"/>
        <w:adjustRightInd w:val="0"/>
        <w:rPr>
          <w:rFonts w:ascii="Cambria" w:hAnsi="Cambria" w:cs="Arial-BoldMT"/>
          <w:b/>
          <w:bCs/>
          <w:sz w:val="20"/>
          <w:szCs w:val="20"/>
          <w:u w:val="single"/>
          <w:lang w:eastAsia="en-US"/>
        </w:rPr>
      </w:pPr>
      <w:r w:rsidRPr="00315313">
        <w:rPr>
          <w:rFonts w:ascii="Cambria" w:hAnsi="Cambria" w:cs="Arial-BoldMT"/>
          <w:b/>
          <w:bCs/>
          <w:sz w:val="20"/>
          <w:szCs w:val="20"/>
          <w:u w:val="single"/>
          <w:lang w:eastAsia="en-US"/>
        </w:rPr>
        <w:lastRenderedPageBreak/>
        <w:t>Abstract</w:t>
      </w:r>
    </w:p>
    <w:p w:rsidR="005932C8" w:rsidRPr="00315313" w:rsidRDefault="005932C8" w:rsidP="00644BD3">
      <w:pPr>
        <w:suppressAutoHyphens w:val="0"/>
        <w:autoSpaceDE w:val="0"/>
        <w:autoSpaceDN w:val="0"/>
        <w:adjustRightInd w:val="0"/>
        <w:rPr>
          <w:rFonts w:ascii="Cambria" w:hAnsi="Cambria" w:cs="Arial-BoldMT"/>
          <w:bCs/>
          <w:sz w:val="20"/>
          <w:szCs w:val="20"/>
          <w:lang w:eastAsia="en-US"/>
        </w:rPr>
      </w:pPr>
      <w:r w:rsidRPr="00315313">
        <w:rPr>
          <w:rFonts w:ascii="Cambria" w:hAnsi="Cambria" w:cs="Arial-BoldMT"/>
          <w:bCs/>
          <w:sz w:val="20"/>
          <w:szCs w:val="20"/>
          <w:lang w:eastAsia="en-US"/>
        </w:rPr>
        <w:t>Objective:</w:t>
      </w:r>
      <w:r>
        <w:rPr>
          <w:rFonts w:ascii="Cambria" w:hAnsi="Cambria" w:cs="Arial-BoldMT"/>
          <w:bCs/>
          <w:sz w:val="20"/>
          <w:szCs w:val="20"/>
          <w:lang w:eastAsia="en-US"/>
        </w:rPr>
        <w:t xml:space="preserve"> </w:t>
      </w:r>
      <w:r w:rsidRPr="00315313">
        <w:rPr>
          <w:rFonts w:ascii="Cambria" w:hAnsi="Cambria" w:cs="Arial-BoldMT"/>
          <w:bCs/>
          <w:sz w:val="20"/>
          <w:szCs w:val="20"/>
          <w:lang w:eastAsia="en-US"/>
        </w:rPr>
        <w:t xml:space="preserve">To report a case of fatal </w:t>
      </w:r>
      <w:proofErr w:type="spellStart"/>
      <w:r w:rsidRPr="00315313">
        <w:rPr>
          <w:rFonts w:ascii="Cambria" w:hAnsi="Cambria" w:cs="Arial-BoldMT"/>
          <w:bCs/>
          <w:sz w:val="20"/>
          <w:szCs w:val="20"/>
          <w:lang w:eastAsia="en-US"/>
        </w:rPr>
        <w:t>hyperammonemia</w:t>
      </w:r>
      <w:proofErr w:type="spellEnd"/>
      <w:r w:rsidRPr="00315313">
        <w:rPr>
          <w:rFonts w:ascii="Cambria" w:hAnsi="Cambria" w:cs="Arial-BoldMT"/>
          <w:bCs/>
          <w:sz w:val="20"/>
          <w:szCs w:val="20"/>
          <w:lang w:eastAsia="en-US"/>
        </w:rPr>
        <w:t xml:space="preserve"> from an adult onset hereditary urea cycle defect. </w:t>
      </w:r>
    </w:p>
    <w:p w:rsidR="005932C8" w:rsidRPr="00315313" w:rsidRDefault="005932C8" w:rsidP="00644BD3">
      <w:pPr>
        <w:suppressAutoHyphens w:val="0"/>
        <w:autoSpaceDE w:val="0"/>
        <w:autoSpaceDN w:val="0"/>
        <w:adjustRightInd w:val="0"/>
        <w:rPr>
          <w:rFonts w:ascii="Cambria" w:hAnsi="Cambria" w:cs="Arial-BoldMT"/>
          <w:bCs/>
          <w:sz w:val="20"/>
          <w:szCs w:val="20"/>
          <w:lang w:eastAsia="en-US"/>
        </w:rPr>
      </w:pPr>
    </w:p>
    <w:p w:rsidR="005932C8" w:rsidRPr="00315313" w:rsidRDefault="005932C8" w:rsidP="00644BD3">
      <w:pPr>
        <w:suppressAutoHyphens w:val="0"/>
        <w:autoSpaceDE w:val="0"/>
        <w:autoSpaceDN w:val="0"/>
        <w:adjustRightInd w:val="0"/>
        <w:rPr>
          <w:rFonts w:ascii="Cambria" w:hAnsi="Cambria" w:cs="Arial-BoldMT"/>
          <w:bCs/>
          <w:sz w:val="20"/>
          <w:szCs w:val="20"/>
          <w:lang w:eastAsia="en-US"/>
        </w:rPr>
      </w:pPr>
      <w:r>
        <w:rPr>
          <w:rFonts w:ascii="Cambria" w:hAnsi="Cambria" w:cs="Arial-BoldMT"/>
          <w:bCs/>
          <w:sz w:val="20"/>
          <w:szCs w:val="20"/>
          <w:lang w:eastAsia="en-US"/>
        </w:rPr>
        <w:t>Case Summary</w:t>
      </w:r>
      <w:r w:rsidRPr="00315313">
        <w:rPr>
          <w:rFonts w:ascii="Cambria" w:hAnsi="Cambria" w:cs="Arial-BoldMT"/>
          <w:bCs/>
          <w:sz w:val="20"/>
          <w:szCs w:val="20"/>
          <w:lang w:eastAsia="en-US"/>
        </w:rPr>
        <w:t xml:space="preserve">: </w:t>
      </w:r>
      <w:r>
        <w:rPr>
          <w:rFonts w:ascii="Cambria" w:hAnsi="Cambria" w:cs="Arial-BoldMT"/>
          <w:bCs/>
          <w:sz w:val="20"/>
          <w:szCs w:val="20"/>
          <w:lang w:eastAsia="en-US"/>
        </w:rPr>
        <w:t xml:space="preserve"> </w:t>
      </w:r>
      <w:r>
        <w:rPr>
          <w:rFonts w:ascii="Cambria" w:hAnsi="Cambria" w:cs="Arial"/>
          <w:sz w:val="20"/>
          <w:szCs w:val="20"/>
        </w:rPr>
        <w:t>A</w:t>
      </w:r>
      <w:r w:rsidRPr="005B6693">
        <w:rPr>
          <w:rFonts w:ascii="Cambria" w:hAnsi="Cambria" w:cs="Arial"/>
          <w:sz w:val="20"/>
          <w:szCs w:val="20"/>
        </w:rPr>
        <w:t xml:space="preserve"> 48-year-old woman</w:t>
      </w:r>
      <w:r>
        <w:rPr>
          <w:rFonts w:ascii="Cambria" w:hAnsi="Cambria" w:cs="Arial"/>
          <w:sz w:val="20"/>
          <w:szCs w:val="20"/>
        </w:rPr>
        <w:t xml:space="preserve"> with a </w:t>
      </w:r>
      <w:r w:rsidRPr="005B6693">
        <w:rPr>
          <w:rFonts w:ascii="Cambria" w:hAnsi="Cambria" w:cs="Arial"/>
          <w:sz w:val="20"/>
          <w:szCs w:val="20"/>
        </w:rPr>
        <w:t>history of bulimia and bipolar disorder presented with</w:t>
      </w:r>
      <w:r>
        <w:rPr>
          <w:rFonts w:ascii="Cambria" w:hAnsi="Cambria" w:cs="Arial"/>
          <w:sz w:val="20"/>
          <w:szCs w:val="20"/>
        </w:rPr>
        <w:t xml:space="preserve"> a four week history of </w:t>
      </w:r>
      <w:r w:rsidRPr="005B6693">
        <w:rPr>
          <w:rFonts w:ascii="Cambria" w:hAnsi="Cambria" w:cs="Arial"/>
          <w:sz w:val="20"/>
          <w:szCs w:val="20"/>
        </w:rPr>
        <w:t>confusion and lethargy in the settin</w:t>
      </w:r>
      <w:r>
        <w:rPr>
          <w:rFonts w:ascii="Cambria" w:hAnsi="Cambria" w:cs="Arial"/>
          <w:sz w:val="20"/>
          <w:szCs w:val="20"/>
        </w:rPr>
        <w:t xml:space="preserve">g of a twenty-pound weight loss. Shortly after presentation, she deteriorated and became obtunded.  Brain </w:t>
      </w:r>
      <w:r w:rsidR="00C46E84">
        <w:rPr>
          <w:rFonts w:ascii="Cambria" w:hAnsi="Cambria" w:cs="Arial"/>
          <w:sz w:val="20"/>
          <w:szCs w:val="20"/>
        </w:rPr>
        <w:t>MRI was</w:t>
      </w:r>
      <w:r>
        <w:rPr>
          <w:rFonts w:ascii="Cambria" w:hAnsi="Cambria" w:cs="Arial"/>
          <w:sz w:val="20"/>
          <w:szCs w:val="20"/>
        </w:rPr>
        <w:t xml:space="preserve"> consistent with hypoxic-ischemic injury, but the patient </w:t>
      </w:r>
      <w:r w:rsidR="006374BB">
        <w:rPr>
          <w:rFonts w:ascii="Cambria" w:hAnsi="Cambria" w:cs="Arial"/>
          <w:sz w:val="20"/>
          <w:szCs w:val="20"/>
        </w:rPr>
        <w:t>had</w:t>
      </w:r>
      <w:r>
        <w:rPr>
          <w:rFonts w:ascii="Cambria" w:hAnsi="Cambria" w:cs="Arial"/>
          <w:sz w:val="20"/>
          <w:szCs w:val="20"/>
        </w:rPr>
        <w:t xml:space="preserve"> not</w:t>
      </w:r>
      <w:r w:rsidR="006374BB">
        <w:rPr>
          <w:rFonts w:ascii="Cambria" w:hAnsi="Cambria" w:cs="Arial"/>
          <w:sz w:val="20"/>
          <w:szCs w:val="20"/>
        </w:rPr>
        <w:t xml:space="preserve"> been </w:t>
      </w:r>
      <w:r>
        <w:rPr>
          <w:rFonts w:ascii="Cambria" w:hAnsi="Cambria" w:cs="Arial"/>
          <w:sz w:val="20"/>
          <w:szCs w:val="20"/>
        </w:rPr>
        <w:t xml:space="preserve">observed to experience episodes of hypotension or </w:t>
      </w:r>
      <w:proofErr w:type="spellStart"/>
      <w:r>
        <w:rPr>
          <w:rFonts w:ascii="Cambria" w:hAnsi="Cambria" w:cs="Arial"/>
          <w:sz w:val="20"/>
          <w:szCs w:val="20"/>
        </w:rPr>
        <w:t>desaturation</w:t>
      </w:r>
      <w:proofErr w:type="spellEnd"/>
      <w:r>
        <w:rPr>
          <w:rFonts w:ascii="Cambria" w:hAnsi="Cambria" w:cs="Arial"/>
          <w:sz w:val="20"/>
          <w:szCs w:val="20"/>
        </w:rPr>
        <w:t xml:space="preserve"> during her deterioration. With an elevated ammonia level discovered in the setting of normal liver function tests </w:t>
      </w:r>
      <w:r w:rsidR="006374BB">
        <w:rPr>
          <w:rFonts w:ascii="Cambria" w:hAnsi="Cambria" w:cs="Arial"/>
          <w:sz w:val="20"/>
          <w:szCs w:val="20"/>
        </w:rPr>
        <w:t xml:space="preserve">on admission </w:t>
      </w:r>
      <w:r>
        <w:rPr>
          <w:rFonts w:ascii="Cambria" w:hAnsi="Cambria" w:cs="Arial"/>
          <w:sz w:val="20"/>
          <w:szCs w:val="20"/>
        </w:rPr>
        <w:t xml:space="preserve">and no response to </w:t>
      </w:r>
      <w:proofErr w:type="spellStart"/>
      <w:r>
        <w:rPr>
          <w:rFonts w:ascii="Cambria" w:hAnsi="Cambria" w:cs="Arial"/>
          <w:sz w:val="20"/>
          <w:szCs w:val="20"/>
        </w:rPr>
        <w:t>lactulose</w:t>
      </w:r>
      <w:proofErr w:type="spellEnd"/>
      <w:r>
        <w:rPr>
          <w:rFonts w:ascii="Cambria" w:hAnsi="Cambria" w:cs="Arial"/>
          <w:sz w:val="20"/>
          <w:szCs w:val="20"/>
        </w:rPr>
        <w:t xml:space="preserve">, non-hepatic causes of </w:t>
      </w:r>
      <w:proofErr w:type="spellStart"/>
      <w:r>
        <w:rPr>
          <w:rFonts w:ascii="Cambria" w:hAnsi="Cambria" w:cs="Arial"/>
          <w:sz w:val="20"/>
          <w:szCs w:val="20"/>
        </w:rPr>
        <w:t>hyperammonemia</w:t>
      </w:r>
      <w:proofErr w:type="spellEnd"/>
      <w:r>
        <w:rPr>
          <w:rFonts w:ascii="Cambria" w:hAnsi="Cambria" w:cs="Arial"/>
          <w:sz w:val="20"/>
          <w:szCs w:val="20"/>
        </w:rPr>
        <w:t xml:space="preserve"> were considered.</w:t>
      </w:r>
    </w:p>
    <w:p w:rsidR="005932C8" w:rsidRPr="00315313" w:rsidRDefault="005932C8" w:rsidP="00644BD3">
      <w:pPr>
        <w:suppressAutoHyphens w:val="0"/>
        <w:autoSpaceDE w:val="0"/>
        <w:autoSpaceDN w:val="0"/>
        <w:adjustRightInd w:val="0"/>
        <w:rPr>
          <w:rFonts w:ascii="Cambria" w:hAnsi="Cambria" w:cs="Arial-BoldMT"/>
          <w:bCs/>
          <w:sz w:val="20"/>
          <w:szCs w:val="20"/>
          <w:lang w:eastAsia="en-US"/>
        </w:rPr>
      </w:pPr>
    </w:p>
    <w:p w:rsidR="005932C8" w:rsidRPr="00315313" w:rsidRDefault="005932C8" w:rsidP="00644BD3">
      <w:pPr>
        <w:suppressAutoHyphens w:val="0"/>
        <w:autoSpaceDE w:val="0"/>
        <w:autoSpaceDN w:val="0"/>
        <w:adjustRightInd w:val="0"/>
        <w:rPr>
          <w:rFonts w:ascii="Cambria" w:hAnsi="Cambria" w:cs="Arial-BoldMT"/>
          <w:bCs/>
          <w:sz w:val="20"/>
          <w:szCs w:val="20"/>
          <w:lang w:eastAsia="en-US"/>
        </w:rPr>
      </w:pPr>
      <w:r>
        <w:rPr>
          <w:rFonts w:ascii="Cambria" w:hAnsi="Cambria" w:cs="Arial-BoldMT"/>
          <w:bCs/>
          <w:sz w:val="20"/>
          <w:szCs w:val="20"/>
          <w:lang w:eastAsia="en-US"/>
        </w:rPr>
        <w:t>Discussion</w:t>
      </w:r>
      <w:r w:rsidRPr="00315313">
        <w:rPr>
          <w:rFonts w:ascii="Cambria" w:hAnsi="Cambria" w:cs="Arial-BoldMT"/>
          <w:bCs/>
          <w:sz w:val="20"/>
          <w:szCs w:val="20"/>
          <w:lang w:eastAsia="en-US"/>
        </w:rPr>
        <w:t xml:space="preserve">: The patient’s </w:t>
      </w:r>
      <w:r>
        <w:rPr>
          <w:rFonts w:ascii="Cambria" w:hAnsi="Cambria" w:cs="Arial-BoldMT"/>
          <w:bCs/>
          <w:sz w:val="20"/>
          <w:szCs w:val="20"/>
          <w:lang w:eastAsia="en-US"/>
        </w:rPr>
        <w:t>acute presentation initially led to a</w:t>
      </w:r>
      <w:r w:rsidRPr="00315313">
        <w:rPr>
          <w:rFonts w:ascii="Cambria" w:hAnsi="Cambria" w:cs="Arial-BoldMT"/>
          <w:bCs/>
          <w:sz w:val="20"/>
          <w:szCs w:val="20"/>
          <w:lang w:eastAsia="en-US"/>
        </w:rPr>
        <w:t xml:space="preserve"> metabolic</w:t>
      </w:r>
      <w:r>
        <w:rPr>
          <w:rFonts w:ascii="Cambria" w:hAnsi="Cambria" w:cs="Arial-BoldMT"/>
          <w:bCs/>
          <w:sz w:val="20"/>
          <w:szCs w:val="20"/>
          <w:lang w:eastAsia="en-US"/>
        </w:rPr>
        <w:t xml:space="preserve"> panel that was notable for low </w:t>
      </w:r>
      <w:proofErr w:type="spellStart"/>
      <w:r>
        <w:rPr>
          <w:rFonts w:ascii="Cambria" w:hAnsi="Cambria" w:cs="Arial-BoldMT"/>
          <w:bCs/>
          <w:sz w:val="20"/>
          <w:szCs w:val="20"/>
          <w:lang w:eastAsia="en-US"/>
        </w:rPr>
        <w:t>citrulline</w:t>
      </w:r>
      <w:proofErr w:type="spellEnd"/>
      <w:r>
        <w:rPr>
          <w:rFonts w:ascii="Cambria" w:hAnsi="Cambria" w:cs="Arial-BoldMT"/>
          <w:bCs/>
          <w:sz w:val="20"/>
          <w:szCs w:val="20"/>
          <w:lang w:eastAsia="en-US"/>
        </w:rPr>
        <w:t xml:space="preserve"> and </w:t>
      </w:r>
      <w:proofErr w:type="spellStart"/>
      <w:r>
        <w:rPr>
          <w:rFonts w:ascii="Cambria" w:hAnsi="Cambria" w:cs="Arial-BoldMT"/>
          <w:bCs/>
          <w:sz w:val="20"/>
          <w:szCs w:val="20"/>
          <w:lang w:eastAsia="en-US"/>
        </w:rPr>
        <w:t>arginine</w:t>
      </w:r>
      <w:proofErr w:type="spellEnd"/>
      <w:r>
        <w:rPr>
          <w:rFonts w:ascii="Cambria" w:hAnsi="Cambria" w:cs="Arial-BoldMT"/>
          <w:bCs/>
          <w:sz w:val="20"/>
          <w:szCs w:val="20"/>
          <w:lang w:eastAsia="en-US"/>
        </w:rPr>
        <w:t xml:space="preserve"> levels </w:t>
      </w:r>
      <w:r w:rsidR="006374BB">
        <w:rPr>
          <w:rFonts w:ascii="Cambria" w:hAnsi="Cambria" w:cs="Arial-BoldMT"/>
          <w:bCs/>
          <w:sz w:val="20"/>
          <w:szCs w:val="20"/>
          <w:lang w:eastAsia="en-US"/>
        </w:rPr>
        <w:t xml:space="preserve">but </w:t>
      </w:r>
      <w:r>
        <w:rPr>
          <w:rFonts w:ascii="Cambria" w:hAnsi="Cambria" w:cs="Arial-BoldMT"/>
          <w:bCs/>
          <w:sz w:val="20"/>
          <w:szCs w:val="20"/>
          <w:lang w:eastAsia="en-US"/>
        </w:rPr>
        <w:t xml:space="preserve">with a normal </w:t>
      </w:r>
      <w:proofErr w:type="spellStart"/>
      <w:r>
        <w:rPr>
          <w:rFonts w:ascii="Cambria" w:hAnsi="Cambria" w:cs="Arial-BoldMT"/>
          <w:bCs/>
          <w:sz w:val="20"/>
          <w:szCs w:val="20"/>
          <w:lang w:eastAsia="en-US"/>
        </w:rPr>
        <w:t>orotic</w:t>
      </w:r>
      <w:proofErr w:type="spellEnd"/>
      <w:r>
        <w:rPr>
          <w:rFonts w:ascii="Cambria" w:hAnsi="Cambria" w:cs="Arial-BoldMT"/>
          <w:bCs/>
          <w:sz w:val="20"/>
          <w:szCs w:val="20"/>
          <w:lang w:eastAsia="en-US"/>
        </w:rPr>
        <w:t xml:space="preserve"> acid level. </w:t>
      </w:r>
      <w:r w:rsidR="006374BB">
        <w:rPr>
          <w:rFonts w:ascii="Cambria" w:hAnsi="Cambria" w:cs="Arial-BoldMT"/>
          <w:bCs/>
          <w:sz w:val="20"/>
          <w:szCs w:val="20"/>
          <w:lang w:eastAsia="en-US"/>
        </w:rPr>
        <w:t xml:space="preserve"> </w:t>
      </w:r>
      <w:r>
        <w:rPr>
          <w:rFonts w:ascii="Cambria" w:hAnsi="Cambria" w:cs="Arial-BoldMT"/>
          <w:bCs/>
          <w:sz w:val="20"/>
          <w:szCs w:val="20"/>
          <w:lang w:eastAsia="en-US"/>
        </w:rPr>
        <w:t xml:space="preserve">We propose that she exhibited an </w:t>
      </w:r>
      <w:proofErr w:type="spellStart"/>
      <w:r>
        <w:rPr>
          <w:rFonts w:ascii="Cambria" w:hAnsi="Cambria" w:cs="ArialMT"/>
          <w:sz w:val="20"/>
          <w:szCs w:val="20"/>
          <w:lang w:eastAsia="en-US"/>
        </w:rPr>
        <w:t>ornithine</w:t>
      </w:r>
      <w:proofErr w:type="spellEnd"/>
      <w:r>
        <w:rPr>
          <w:rFonts w:ascii="Cambria" w:hAnsi="Cambria" w:cs="ArialMT"/>
          <w:sz w:val="20"/>
          <w:szCs w:val="20"/>
          <w:lang w:eastAsia="en-US"/>
        </w:rPr>
        <w:t xml:space="preserve"> </w:t>
      </w:r>
      <w:proofErr w:type="spellStart"/>
      <w:r>
        <w:rPr>
          <w:rFonts w:ascii="Cambria" w:hAnsi="Cambria" w:cs="ArialMT"/>
          <w:sz w:val="20"/>
          <w:szCs w:val="20"/>
          <w:lang w:eastAsia="en-US"/>
        </w:rPr>
        <w:t>transcarbamylase</w:t>
      </w:r>
      <w:proofErr w:type="spellEnd"/>
      <w:r>
        <w:rPr>
          <w:rFonts w:ascii="Cambria" w:hAnsi="Cambria" w:cs="ArialMT"/>
          <w:sz w:val="20"/>
          <w:szCs w:val="20"/>
          <w:lang w:eastAsia="en-US"/>
        </w:rPr>
        <w:t xml:space="preserve"> (</w:t>
      </w:r>
      <w:r>
        <w:rPr>
          <w:rFonts w:ascii="Cambria" w:hAnsi="Cambria" w:cs="Arial-BoldMT"/>
          <w:bCs/>
          <w:sz w:val="20"/>
          <w:szCs w:val="20"/>
          <w:lang w:eastAsia="en-US"/>
        </w:rPr>
        <w:t xml:space="preserve">OTC) or </w:t>
      </w:r>
      <w:proofErr w:type="spellStart"/>
      <w:r>
        <w:rPr>
          <w:rFonts w:ascii="Cambria" w:hAnsi="Cambria" w:cs="ArialMT"/>
          <w:sz w:val="20"/>
          <w:szCs w:val="20"/>
          <w:lang w:eastAsia="en-US"/>
        </w:rPr>
        <w:t>carbamoyl</w:t>
      </w:r>
      <w:proofErr w:type="spellEnd"/>
      <w:r>
        <w:rPr>
          <w:rFonts w:ascii="Cambria" w:hAnsi="Cambria" w:cs="ArialMT"/>
          <w:sz w:val="20"/>
          <w:szCs w:val="20"/>
          <w:lang w:eastAsia="en-US"/>
        </w:rPr>
        <w:t xml:space="preserve"> phosphate </w:t>
      </w:r>
      <w:proofErr w:type="spellStart"/>
      <w:r>
        <w:rPr>
          <w:rFonts w:ascii="Cambria" w:hAnsi="Cambria" w:cs="ArialMT"/>
          <w:sz w:val="20"/>
          <w:szCs w:val="20"/>
          <w:lang w:eastAsia="en-US"/>
        </w:rPr>
        <w:t>synth</w:t>
      </w:r>
      <w:r w:rsidR="00C46E84">
        <w:rPr>
          <w:rFonts w:ascii="Cambria" w:hAnsi="Cambria" w:cs="ArialMT"/>
          <w:sz w:val="20"/>
          <w:szCs w:val="20"/>
          <w:lang w:eastAsia="en-US"/>
        </w:rPr>
        <w:t>et</w:t>
      </w:r>
      <w:r>
        <w:rPr>
          <w:rFonts w:ascii="Cambria" w:hAnsi="Cambria" w:cs="ArialMT"/>
          <w:sz w:val="20"/>
          <w:szCs w:val="20"/>
          <w:lang w:eastAsia="en-US"/>
        </w:rPr>
        <w:t>ase</w:t>
      </w:r>
      <w:proofErr w:type="spellEnd"/>
      <w:r>
        <w:rPr>
          <w:rFonts w:ascii="Cambria" w:hAnsi="Cambria" w:cs="ArialMT"/>
          <w:sz w:val="20"/>
          <w:szCs w:val="20"/>
          <w:lang w:eastAsia="en-US"/>
        </w:rPr>
        <w:t xml:space="preserve"> </w:t>
      </w:r>
      <w:r>
        <w:rPr>
          <w:rFonts w:ascii="Cambria" w:hAnsi="Cambria" w:cs="Arial-BoldMT"/>
          <w:bCs/>
          <w:sz w:val="20"/>
          <w:szCs w:val="20"/>
          <w:lang w:eastAsia="en-US"/>
        </w:rPr>
        <w:t xml:space="preserve">(CPS) deficiency. </w:t>
      </w:r>
      <w:r w:rsidRPr="00315313">
        <w:rPr>
          <w:rFonts w:ascii="Cambria" w:hAnsi="Cambria" w:cs="Arial-BoldMT"/>
          <w:bCs/>
          <w:sz w:val="20"/>
          <w:szCs w:val="20"/>
          <w:lang w:eastAsia="en-US"/>
        </w:rPr>
        <w:t xml:space="preserve"> </w:t>
      </w:r>
      <w:r>
        <w:rPr>
          <w:rFonts w:ascii="Cambria" w:hAnsi="Cambria" w:cs="Arial-BoldMT"/>
          <w:bCs/>
          <w:sz w:val="20"/>
          <w:szCs w:val="20"/>
          <w:lang w:eastAsia="en-US"/>
        </w:rPr>
        <w:t>G</w:t>
      </w:r>
      <w:r w:rsidRPr="00315313">
        <w:rPr>
          <w:rFonts w:ascii="Cambria" w:hAnsi="Cambria" w:cs="Arial-BoldMT"/>
          <w:bCs/>
          <w:sz w:val="20"/>
          <w:szCs w:val="20"/>
          <w:lang w:eastAsia="en-US"/>
        </w:rPr>
        <w:t>enetic</w:t>
      </w:r>
      <w:r>
        <w:rPr>
          <w:rFonts w:ascii="Cambria" w:hAnsi="Cambria" w:cs="Arial-BoldMT"/>
          <w:bCs/>
          <w:sz w:val="20"/>
          <w:szCs w:val="20"/>
          <w:lang w:eastAsia="en-US"/>
        </w:rPr>
        <w:t xml:space="preserve"> testing and liver biopsy </w:t>
      </w:r>
      <w:r w:rsidRPr="00315313">
        <w:rPr>
          <w:rFonts w:ascii="Cambria" w:hAnsi="Cambria" w:cs="Arial-BoldMT"/>
          <w:bCs/>
          <w:sz w:val="20"/>
          <w:szCs w:val="20"/>
          <w:lang w:eastAsia="en-US"/>
        </w:rPr>
        <w:t xml:space="preserve">were inconclusive.  </w:t>
      </w:r>
    </w:p>
    <w:p w:rsidR="005932C8" w:rsidRPr="00315313" w:rsidRDefault="005932C8" w:rsidP="00644BD3">
      <w:pPr>
        <w:suppressAutoHyphens w:val="0"/>
        <w:autoSpaceDE w:val="0"/>
        <w:autoSpaceDN w:val="0"/>
        <w:adjustRightInd w:val="0"/>
        <w:rPr>
          <w:rFonts w:ascii="Cambria" w:hAnsi="Cambria" w:cs="Arial-BoldMT"/>
          <w:bCs/>
          <w:sz w:val="20"/>
          <w:szCs w:val="20"/>
          <w:lang w:eastAsia="en-US"/>
        </w:rPr>
      </w:pPr>
    </w:p>
    <w:p w:rsidR="005932C8" w:rsidRPr="00315313" w:rsidRDefault="005932C8" w:rsidP="00644BD3">
      <w:pPr>
        <w:suppressAutoHyphens w:val="0"/>
        <w:autoSpaceDE w:val="0"/>
        <w:autoSpaceDN w:val="0"/>
        <w:adjustRightInd w:val="0"/>
        <w:rPr>
          <w:rFonts w:ascii="Cambria" w:hAnsi="Cambria" w:cs="Arial-BoldMT"/>
          <w:bCs/>
          <w:sz w:val="20"/>
          <w:szCs w:val="20"/>
          <w:lang w:eastAsia="en-US"/>
        </w:rPr>
      </w:pPr>
      <w:r w:rsidRPr="00315313">
        <w:rPr>
          <w:rFonts w:ascii="Cambria" w:hAnsi="Cambria" w:cs="Arial-BoldMT"/>
          <w:bCs/>
          <w:sz w:val="20"/>
          <w:szCs w:val="20"/>
          <w:lang w:eastAsia="en-US"/>
        </w:rPr>
        <w:t xml:space="preserve">Conclusion: </w:t>
      </w:r>
      <w:r>
        <w:rPr>
          <w:rFonts w:ascii="Cambria" w:hAnsi="Cambria" w:cs="Arial-BoldMT"/>
          <w:bCs/>
          <w:sz w:val="20"/>
          <w:szCs w:val="20"/>
          <w:lang w:eastAsia="en-US"/>
        </w:rPr>
        <w:t xml:space="preserve"> </w:t>
      </w:r>
      <w:r w:rsidRPr="00315313">
        <w:rPr>
          <w:rFonts w:ascii="Cambria" w:hAnsi="Cambria" w:cs="Arial-BoldMT"/>
          <w:bCs/>
          <w:sz w:val="20"/>
          <w:szCs w:val="20"/>
          <w:lang w:eastAsia="en-US"/>
        </w:rPr>
        <w:t xml:space="preserve">This case highlights the importance of early consideration of inborn errors of metabolism in adults presenting with non-hepatic </w:t>
      </w:r>
      <w:proofErr w:type="spellStart"/>
      <w:r w:rsidRPr="00315313">
        <w:rPr>
          <w:rFonts w:ascii="Cambria" w:hAnsi="Cambria" w:cs="Arial-BoldMT"/>
          <w:bCs/>
          <w:sz w:val="20"/>
          <w:szCs w:val="20"/>
          <w:lang w:eastAsia="en-US"/>
        </w:rPr>
        <w:t>hyperammonemia</w:t>
      </w:r>
      <w:proofErr w:type="spellEnd"/>
    </w:p>
    <w:p w:rsidR="005932C8" w:rsidRPr="00315313" w:rsidRDefault="005932C8" w:rsidP="00644BD3">
      <w:pPr>
        <w:suppressAutoHyphens w:val="0"/>
        <w:autoSpaceDE w:val="0"/>
        <w:autoSpaceDN w:val="0"/>
        <w:adjustRightInd w:val="0"/>
        <w:rPr>
          <w:rFonts w:ascii="Cambria" w:hAnsi="Cambria" w:cs="Arial-BoldMT"/>
          <w:bCs/>
          <w:sz w:val="20"/>
          <w:szCs w:val="20"/>
          <w:lang w:eastAsia="en-US"/>
        </w:rPr>
      </w:pPr>
    </w:p>
    <w:p w:rsidR="005932C8" w:rsidRDefault="005932C8" w:rsidP="00644BD3">
      <w:pPr>
        <w:suppressAutoHyphens w:val="0"/>
        <w:autoSpaceDE w:val="0"/>
        <w:autoSpaceDN w:val="0"/>
        <w:adjustRightInd w:val="0"/>
        <w:rPr>
          <w:rFonts w:ascii="Cambria" w:hAnsi="Cambria" w:cs="Arial-BoldMT"/>
          <w:bCs/>
          <w:sz w:val="20"/>
          <w:szCs w:val="20"/>
          <w:u w:val="single"/>
          <w:lang w:eastAsia="en-US"/>
        </w:rPr>
      </w:pPr>
      <w:r w:rsidRPr="00C46E84">
        <w:rPr>
          <w:rFonts w:ascii="Cambria" w:hAnsi="Cambria" w:cs="Arial-BoldMT"/>
          <w:bCs/>
          <w:sz w:val="20"/>
          <w:szCs w:val="20"/>
          <w:u w:val="single"/>
          <w:lang w:eastAsia="en-US"/>
        </w:rPr>
        <w:t xml:space="preserve">Introduction </w:t>
      </w:r>
    </w:p>
    <w:p w:rsidR="00C46E84" w:rsidRPr="00C46E84" w:rsidRDefault="00C46E84" w:rsidP="00644BD3">
      <w:pPr>
        <w:suppressAutoHyphens w:val="0"/>
        <w:autoSpaceDE w:val="0"/>
        <w:autoSpaceDN w:val="0"/>
        <w:adjustRightInd w:val="0"/>
        <w:rPr>
          <w:rFonts w:ascii="Cambria" w:hAnsi="Cambria" w:cs="Arial-BoldMT"/>
          <w:bCs/>
          <w:sz w:val="20"/>
          <w:szCs w:val="20"/>
          <w:u w:val="single"/>
          <w:lang w:eastAsia="en-US"/>
        </w:rPr>
      </w:pPr>
    </w:p>
    <w:p w:rsidR="005932C8" w:rsidRPr="00315313" w:rsidRDefault="005932C8" w:rsidP="00335B38">
      <w:pPr>
        <w:suppressAutoHyphens w:val="0"/>
        <w:autoSpaceDE w:val="0"/>
        <w:autoSpaceDN w:val="0"/>
        <w:adjustRightInd w:val="0"/>
        <w:ind w:firstLine="720"/>
        <w:rPr>
          <w:rFonts w:ascii="Cambria" w:hAnsi="Cambria" w:cs="Arial-BoldMT"/>
          <w:bCs/>
          <w:sz w:val="20"/>
          <w:szCs w:val="20"/>
          <w:lang w:eastAsia="en-US"/>
        </w:rPr>
      </w:pPr>
      <w:r w:rsidRPr="00315313">
        <w:rPr>
          <w:rFonts w:ascii="Cambria" w:hAnsi="Cambria" w:cs="Arial-BoldMT"/>
          <w:bCs/>
          <w:sz w:val="20"/>
          <w:szCs w:val="20"/>
          <w:lang w:eastAsia="en-US"/>
        </w:rPr>
        <w:t xml:space="preserve">Urea cycle disorders are inherited deficiencies of the enzymes and transport molecules involved in the cellular excretion of excess ammonia produced during protein metabolism.  </w:t>
      </w:r>
      <w:proofErr w:type="spellStart"/>
      <w:r w:rsidRPr="00315313">
        <w:rPr>
          <w:rFonts w:ascii="Cambria" w:hAnsi="Cambria" w:cs="Arial-BoldMT"/>
          <w:bCs/>
          <w:sz w:val="20"/>
          <w:szCs w:val="20"/>
          <w:lang w:eastAsia="en-US"/>
        </w:rPr>
        <w:t>Hyperammonemia</w:t>
      </w:r>
      <w:proofErr w:type="spellEnd"/>
      <w:r w:rsidRPr="00315313">
        <w:rPr>
          <w:rFonts w:ascii="Cambria" w:hAnsi="Cambria" w:cs="Arial-BoldMT"/>
          <w:bCs/>
          <w:sz w:val="20"/>
          <w:szCs w:val="20"/>
          <w:lang w:eastAsia="en-US"/>
        </w:rPr>
        <w:t xml:space="preserve"> associated with</w:t>
      </w:r>
      <w:r>
        <w:rPr>
          <w:rFonts w:ascii="Cambria" w:hAnsi="Cambria" w:cs="Arial-BoldMT"/>
          <w:bCs/>
          <w:sz w:val="20"/>
          <w:szCs w:val="20"/>
          <w:lang w:eastAsia="en-US"/>
        </w:rPr>
        <w:t xml:space="preserve"> these disorders is</w:t>
      </w:r>
      <w:r w:rsidRPr="00315313">
        <w:rPr>
          <w:rFonts w:ascii="Cambria" w:hAnsi="Cambria" w:cs="Arial-BoldMT"/>
          <w:bCs/>
          <w:sz w:val="20"/>
          <w:szCs w:val="20"/>
          <w:lang w:eastAsia="en-US"/>
        </w:rPr>
        <w:t xml:space="preserve"> usually manifested by decreased level of consciousness, irritability, seizures, vomiting and poor feeding. Although the majority of affected patients </w:t>
      </w:r>
      <w:r>
        <w:rPr>
          <w:rFonts w:ascii="Cambria" w:hAnsi="Cambria" w:cs="Arial-BoldMT"/>
          <w:bCs/>
          <w:sz w:val="20"/>
          <w:szCs w:val="20"/>
          <w:lang w:eastAsia="en-US"/>
        </w:rPr>
        <w:t>are children</w:t>
      </w:r>
      <w:r w:rsidRPr="00315313">
        <w:rPr>
          <w:rFonts w:ascii="Cambria" w:hAnsi="Cambria" w:cs="Arial-BoldMT"/>
          <w:bCs/>
          <w:sz w:val="20"/>
          <w:szCs w:val="20"/>
          <w:lang w:eastAsia="en-US"/>
        </w:rPr>
        <w:t xml:space="preserve">, </w:t>
      </w:r>
      <w:r>
        <w:rPr>
          <w:rFonts w:ascii="Cambria" w:hAnsi="Cambria" w:cs="Arial-BoldMT"/>
          <w:bCs/>
          <w:sz w:val="20"/>
          <w:szCs w:val="20"/>
          <w:lang w:eastAsia="en-US"/>
        </w:rPr>
        <w:t>a delayed presentation is seen in patients</w:t>
      </w:r>
      <w:r w:rsidRPr="00315313">
        <w:rPr>
          <w:rFonts w:ascii="Cambria" w:hAnsi="Cambria" w:cs="Arial-BoldMT"/>
          <w:bCs/>
          <w:sz w:val="20"/>
          <w:szCs w:val="20"/>
          <w:lang w:eastAsia="en-US"/>
        </w:rPr>
        <w:t xml:space="preserve"> with partial enzyme deficiency</w:t>
      </w:r>
      <w:r>
        <w:rPr>
          <w:rFonts w:ascii="Cambria" w:hAnsi="Cambria" w:cs="Arial-BoldMT"/>
          <w:bCs/>
          <w:sz w:val="20"/>
          <w:szCs w:val="20"/>
          <w:lang w:eastAsia="en-US"/>
        </w:rPr>
        <w:t xml:space="preserve">, including </w:t>
      </w:r>
      <w:proofErr w:type="spellStart"/>
      <w:r>
        <w:rPr>
          <w:rFonts w:ascii="Cambria" w:hAnsi="Cambria" w:cs="Arial-BoldMT"/>
          <w:bCs/>
          <w:sz w:val="20"/>
          <w:szCs w:val="20"/>
          <w:lang w:eastAsia="en-US"/>
        </w:rPr>
        <w:t>heterozygotes</w:t>
      </w:r>
      <w:proofErr w:type="spellEnd"/>
      <w:r>
        <w:rPr>
          <w:rFonts w:ascii="Cambria" w:hAnsi="Cambria" w:cs="Arial-BoldMT"/>
          <w:bCs/>
          <w:sz w:val="20"/>
          <w:szCs w:val="20"/>
          <w:lang w:eastAsia="en-US"/>
        </w:rPr>
        <w:t xml:space="preserve">. These patients become </w:t>
      </w:r>
      <w:r w:rsidRPr="00315313">
        <w:rPr>
          <w:rFonts w:ascii="Cambria" w:hAnsi="Cambria" w:cs="Arial-BoldMT"/>
          <w:bCs/>
          <w:sz w:val="20"/>
          <w:szCs w:val="20"/>
          <w:lang w:eastAsia="en-US"/>
        </w:rPr>
        <w:t xml:space="preserve">symptomatic </w:t>
      </w:r>
      <w:r>
        <w:rPr>
          <w:rFonts w:ascii="Cambria" w:hAnsi="Cambria" w:cs="Arial-BoldMT"/>
          <w:bCs/>
          <w:sz w:val="20"/>
          <w:szCs w:val="20"/>
          <w:lang w:eastAsia="en-US"/>
        </w:rPr>
        <w:t xml:space="preserve">in </w:t>
      </w:r>
      <w:r w:rsidRPr="00315313">
        <w:rPr>
          <w:rFonts w:ascii="Cambria" w:hAnsi="Cambria" w:cs="Arial-BoldMT"/>
          <w:bCs/>
          <w:sz w:val="20"/>
          <w:szCs w:val="20"/>
          <w:lang w:eastAsia="en-US"/>
        </w:rPr>
        <w:t>later childhood</w:t>
      </w:r>
      <w:r>
        <w:rPr>
          <w:rFonts w:ascii="Cambria" w:hAnsi="Cambria" w:cs="Arial-BoldMT"/>
          <w:bCs/>
          <w:sz w:val="20"/>
          <w:szCs w:val="20"/>
          <w:lang w:eastAsia="en-US"/>
        </w:rPr>
        <w:t xml:space="preserve"> or adulthood. Diagnoses of urea cycle defects (UCD) in the adult population have been reported (11)</w:t>
      </w:r>
      <w:r w:rsidRPr="00315313">
        <w:rPr>
          <w:rFonts w:ascii="Cambria" w:hAnsi="Cambria" w:cs="Arial-BoldMT"/>
          <w:bCs/>
          <w:sz w:val="20"/>
          <w:szCs w:val="20"/>
          <w:lang w:eastAsia="en-US"/>
        </w:rPr>
        <w:t>. Often, the diagnosis only becomes apparent during times of increased metabolic stress, such a</w:t>
      </w:r>
      <w:r>
        <w:rPr>
          <w:rFonts w:ascii="Cambria" w:hAnsi="Cambria" w:cs="Arial-BoldMT"/>
          <w:bCs/>
          <w:sz w:val="20"/>
          <w:szCs w:val="20"/>
          <w:lang w:eastAsia="en-US"/>
        </w:rPr>
        <w:t xml:space="preserve">s with acute or chronic illness. </w:t>
      </w:r>
      <w:r w:rsidRPr="00315313">
        <w:rPr>
          <w:rFonts w:ascii="Cambria" w:hAnsi="Cambria" w:cs="Arial-BoldMT"/>
          <w:bCs/>
          <w:sz w:val="20"/>
          <w:szCs w:val="20"/>
          <w:lang w:eastAsia="en-US"/>
        </w:rPr>
        <w:t xml:space="preserve">Prompt recognition and treatment are essential in determining the outcome of these patients. We present a case of </w:t>
      </w:r>
      <w:proofErr w:type="spellStart"/>
      <w:r w:rsidRPr="00315313">
        <w:rPr>
          <w:rFonts w:ascii="Cambria" w:hAnsi="Cambria" w:cs="Arial-BoldMT"/>
          <w:bCs/>
          <w:sz w:val="20"/>
          <w:szCs w:val="20"/>
          <w:lang w:eastAsia="en-US"/>
        </w:rPr>
        <w:t>hyperammonemic</w:t>
      </w:r>
      <w:proofErr w:type="spellEnd"/>
      <w:r w:rsidRPr="00315313">
        <w:rPr>
          <w:rFonts w:ascii="Cambria" w:hAnsi="Cambria" w:cs="Arial-BoldMT"/>
          <w:bCs/>
          <w:sz w:val="20"/>
          <w:szCs w:val="20"/>
          <w:lang w:eastAsia="en-US"/>
        </w:rPr>
        <w:t xml:space="preserve"> encephalopathy from a presumed urea cycle defect. </w:t>
      </w:r>
    </w:p>
    <w:p w:rsidR="005932C8" w:rsidRPr="005B6693" w:rsidRDefault="005932C8" w:rsidP="00644BD3">
      <w:pPr>
        <w:suppressAutoHyphens w:val="0"/>
        <w:autoSpaceDE w:val="0"/>
        <w:autoSpaceDN w:val="0"/>
        <w:adjustRightInd w:val="0"/>
        <w:rPr>
          <w:rFonts w:ascii="Cambria" w:hAnsi="Cambria" w:cs="Arial-BoldMT"/>
          <w:b/>
          <w:bCs/>
          <w:sz w:val="20"/>
          <w:szCs w:val="20"/>
          <w:lang w:eastAsia="en-US"/>
        </w:rPr>
      </w:pPr>
    </w:p>
    <w:p w:rsidR="005932C8" w:rsidRPr="00C46E84" w:rsidRDefault="005932C8" w:rsidP="00644BD3">
      <w:pPr>
        <w:suppressAutoHyphens w:val="0"/>
        <w:autoSpaceDE w:val="0"/>
        <w:autoSpaceDN w:val="0"/>
        <w:adjustRightInd w:val="0"/>
        <w:rPr>
          <w:rFonts w:ascii="Cambria" w:hAnsi="Cambria" w:cs="Arial-BoldMT"/>
          <w:bCs/>
          <w:sz w:val="20"/>
          <w:szCs w:val="20"/>
          <w:u w:val="single"/>
          <w:lang w:eastAsia="en-US"/>
        </w:rPr>
      </w:pPr>
      <w:r w:rsidRPr="00C46E84">
        <w:rPr>
          <w:rFonts w:ascii="Cambria" w:hAnsi="Cambria" w:cs="Arial-BoldMT"/>
          <w:bCs/>
          <w:sz w:val="20"/>
          <w:szCs w:val="20"/>
          <w:u w:val="single"/>
          <w:lang w:eastAsia="en-US"/>
        </w:rPr>
        <w:t>Case Report</w:t>
      </w:r>
    </w:p>
    <w:p w:rsidR="005932C8" w:rsidRPr="00315313" w:rsidRDefault="005932C8" w:rsidP="00644BD3">
      <w:pPr>
        <w:suppressAutoHyphens w:val="0"/>
        <w:autoSpaceDE w:val="0"/>
        <w:autoSpaceDN w:val="0"/>
        <w:adjustRightInd w:val="0"/>
        <w:rPr>
          <w:rFonts w:ascii="Cambria" w:hAnsi="Cambria" w:cs="Arial-BoldMT"/>
          <w:b/>
          <w:bCs/>
          <w:sz w:val="20"/>
          <w:szCs w:val="20"/>
          <w:u w:val="single"/>
          <w:lang w:eastAsia="en-US"/>
        </w:rPr>
      </w:pPr>
    </w:p>
    <w:p w:rsidR="005932C8" w:rsidRPr="0047297B" w:rsidRDefault="005932C8" w:rsidP="0090606E">
      <w:pPr>
        <w:suppressAutoHyphens w:val="0"/>
        <w:autoSpaceDE w:val="0"/>
        <w:autoSpaceDN w:val="0"/>
        <w:adjustRightInd w:val="0"/>
        <w:rPr>
          <w:rFonts w:ascii="Cambria" w:hAnsi="Cambria" w:cs="Arial"/>
          <w:sz w:val="20"/>
          <w:szCs w:val="20"/>
        </w:rPr>
      </w:pPr>
      <w:r w:rsidRPr="005B6693">
        <w:rPr>
          <w:rFonts w:ascii="Cambria" w:hAnsi="Cambria" w:cs="Arial"/>
          <w:sz w:val="20"/>
          <w:szCs w:val="20"/>
        </w:rPr>
        <w:t>We report a case of a 48-year-old woman</w:t>
      </w:r>
      <w:r>
        <w:rPr>
          <w:rFonts w:ascii="Cambria" w:hAnsi="Cambria" w:cs="Arial"/>
          <w:sz w:val="20"/>
          <w:szCs w:val="20"/>
        </w:rPr>
        <w:t xml:space="preserve"> with a </w:t>
      </w:r>
      <w:r w:rsidRPr="005B6693">
        <w:rPr>
          <w:rFonts w:ascii="Cambria" w:hAnsi="Cambria" w:cs="Arial"/>
          <w:sz w:val="20"/>
          <w:szCs w:val="20"/>
        </w:rPr>
        <w:t xml:space="preserve">history of bulimia and bipolar disorder </w:t>
      </w:r>
      <w:r>
        <w:rPr>
          <w:rFonts w:ascii="Cambria" w:hAnsi="Cambria" w:cs="Arial"/>
          <w:sz w:val="20"/>
          <w:szCs w:val="20"/>
        </w:rPr>
        <w:t xml:space="preserve">who </w:t>
      </w:r>
      <w:r w:rsidRPr="005B6693">
        <w:rPr>
          <w:rFonts w:ascii="Cambria" w:hAnsi="Cambria" w:cs="Arial"/>
          <w:sz w:val="20"/>
          <w:szCs w:val="20"/>
        </w:rPr>
        <w:t>presented with</w:t>
      </w:r>
      <w:r>
        <w:rPr>
          <w:rFonts w:ascii="Cambria" w:hAnsi="Cambria" w:cs="Arial"/>
          <w:sz w:val="20"/>
          <w:szCs w:val="20"/>
        </w:rPr>
        <w:t xml:space="preserve"> a four week history of </w:t>
      </w:r>
      <w:r w:rsidRPr="005B6693">
        <w:rPr>
          <w:rFonts w:ascii="Cambria" w:hAnsi="Cambria" w:cs="Arial"/>
          <w:sz w:val="20"/>
          <w:szCs w:val="20"/>
        </w:rPr>
        <w:t>confusion and lethargy in the settin</w:t>
      </w:r>
      <w:r>
        <w:rPr>
          <w:rFonts w:ascii="Cambria" w:hAnsi="Cambria" w:cs="Arial"/>
          <w:sz w:val="20"/>
          <w:szCs w:val="20"/>
        </w:rPr>
        <w:t xml:space="preserve">g of a twenty-pound weight loss. </w:t>
      </w:r>
      <w:r w:rsidRPr="005B6693">
        <w:rPr>
          <w:rFonts w:ascii="Cambria" w:hAnsi="Cambria" w:cs="Arial"/>
          <w:sz w:val="20"/>
          <w:szCs w:val="20"/>
        </w:rPr>
        <w:t>Per family, the patient began to exhibit poor recall and personality changes over the course of a year and had</w:t>
      </w:r>
      <w:r>
        <w:rPr>
          <w:rFonts w:ascii="Cambria" w:hAnsi="Cambria" w:cs="Arial"/>
          <w:sz w:val="20"/>
          <w:szCs w:val="20"/>
        </w:rPr>
        <w:t xml:space="preserve"> begun to lose</w:t>
      </w:r>
      <w:r w:rsidRPr="005B6693">
        <w:rPr>
          <w:rFonts w:ascii="Cambria" w:hAnsi="Cambria" w:cs="Arial"/>
          <w:sz w:val="20"/>
          <w:szCs w:val="20"/>
        </w:rPr>
        <w:t xml:space="preserve"> weight </w:t>
      </w:r>
      <w:r>
        <w:rPr>
          <w:rFonts w:ascii="Cambria" w:hAnsi="Cambria" w:cs="Arial"/>
          <w:sz w:val="20"/>
          <w:szCs w:val="20"/>
        </w:rPr>
        <w:t>over the previous</w:t>
      </w:r>
      <w:r w:rsidRPr="005B6693">
        <w:rPr>
          <w:rFonts w:ascii="Cambria" w:hAnsi="Cambria" w:cs="Arial"/>
          <w:sz w:val="20"/>
          <w:szCs w:val="20"/>
        </w:rPr>
        <w:t xml:space="preserve"> 6 months. In the week prior to admission, she had </w:t>
      </w:r>
      <w:r>
        <w:rPr>
          <w:rFonts w:ascii="Cambria" w:hAnsi="Cambria" w:cs="Arial"/>
          <w:sz w:val="20"/>
          <w:szCs w:val="20"/>
        </w:rPr>
        <w:t>been speaking very little</w:t>
      </w:r>
      <w:r w:rsidRPr="005B6693">
        <w:rPr>
          <w:rFonts w:ascii="Cambria" w:hAnsi="Cambria" w:cs="Arial"/>
          <w:sz w:val="20"/>
          <w:szCs w:val="20"/>
        </w:rPr>
        <w:t xml:space="preserve"> and was consuming </w:t>
      </w:r>
      <w:r w:rsidR="006374BB" w:rsidRPr="005B6693">
        <w:rPr>
          <w:rFonts w:ascii="Cambria" w:hAnsi="Cambria" w:cs="Arial"/>
          <w:sz w:val="20"/>
          <w:szCs w:val="20"/>
        </w:rPr>
        <w:t xml:space="preserve">only </w:t>
      </w:r>
      <w:r w:rsidRPr="005B6693">
        <w:rPr>
          <w:rFonts w:ascii="Cambria" w:hAnsi="Cambria" w:cs="Arial"/>
          <w:sz w:val="20"/>
          <w:szCs w:val="20"/>
        </w:rPr>
        <w:t xml:space="preserve">fluids. In the ER, she was minimally responsive and appeared poorly groomed. </w:t>
      </w:r>
      <w:r>
        <w:rPr>
          <w:rFonts w:ascii="Cambria" w:hAnsi="Cambria" w:cs="Arial"/>
          <w:sz w:val="20"/>
          <w:szCs w:val="20"/>
        </w:rPr>
        <w:t xml:space="preserve">She had an initial lumbar puncture that was normal. Her head CT showed scattered, patchy, ill-defined </w:t>
      </w:r>
      <w:proofErr w:type="spellStart"/>
      <w:r>
        <w:rPr>
          <w:rFonts w:ascii="Cambria" w:hAnsi="Cambria" w:cs="Arial"/>
          <w:sz w:val="20"/>
          <w:szCs w:val="20"/>
        </w:rPr>
        <w:t>hypodensities</w:t>
      </w:r>
      <w:proofErr w:type="spellEnd"/>
      <w:r>
        <w:rPr>
          <w:rFonts w:ascii="Cambria" w:hAnsi="Cambria" w:cs="Arial"/>
          <w:sz w:val="20"/>
          <w:szCs w:val="20"/>
        </w:rPr>
        <w:t xml:space="preserve"> in the white matter in both cerebral hemispheres, more than expected for the patient’s age. </w:t>
      </w:r>
      <w:r w:rsidRPr="0090606E">
        <w:rPr>
          <w:rFonts w:ascii="Cambria" w:hAnsi="Cambria" w:cs="ArialMT"/>
          <w:sz w:val="20"/>
          <w:szCs w:val="20"/>
          <w:lang w:eastAsia="en-US"/>
        </w:rPr>
        <w:t>Initial laboratory studies demonstrated a low bicarbonate level, consistent with a non-</w:t>
      </w:r>
      <w:proofErr w:type="spellStart"/>
      <w:r w:rsidRPr="0090606E">
        <w:rPr>
          <w:rFonts w:ascii="Cambria" w:hAnsi="Cambria" w:cs="ArialMT"/>
          <w:sz w:val="20"/>
          <w:szCs w:val="20"/>
          <w:lang w:eastAsia="en-US"/>
        </w:rPr>
        <w:t>anion</w:t>
      </w:r>
      <w:proofErr w:type="spellEnd"/>
      <w:r w:rsidRPr="0090606E">
        <w:rPr>
          <w:rFonts w:ascii="Cambria" w:hAnsi="Cambria" w:cs="ArialMT"/>
          <w:sz w:val="20"/>
          <w:szCs w:val="20"/>
          <w:lang w:eastAsia="en-US"/>
        </w:rPr>
        <w:t xml:space="preserve"> gap metabolic</w:t>
      </w:r>
      <w:r>
        <w:rPr>
          <w:rFonts w:ascii="Cambria" w:hAnsi="Cambria" w:cs="ArialMT"/>
          <w:sz w:val="20"/>
          <w:szCs w:val="20"/>
          <w:lang w:eastAsia="en-US"/>
        </w:rPr>
        <w:t xml:space="preserve"> acidosis, for which she was placed on </w:t>
      </w:r>
      <w:r w:rsidRPr="0090606E">
        <w:rPr>
          <w:rFonts w:ascii="Cambria" w:hAnsi="Cambria" w:cs="ArialMT"/>
          <w:sz w:val="20"/>
          <w:szCs w:val="20"/>
          <w:lang w:eastAsia="en-US"/>
        </w:rPr>
        <w:t>bicarbonate</w:t>
      </w:r>
      <w:r>
        <w:rPr>
          <w:rFonts w:ascii="Cambria" w:hAnsi="Cambria" w:cs="ArialMT"/>
          <w:sz w:val="20"/>
          <w:szCs w:val="20"/>
          <w:lang w:eastAsia="en-US"/>
        </w:rPr>
        <w:t xml:space="preserve"> </w:t>
      </w:r>
      <w:r w:rsidRPr="0090606E">
        <w:rPr>
          <w:rFonts w:ascii="Cambria" w:hAnsi="Cambria" w:cs="ArialMT"/>
          <w:sz w:val="20"/>
          <w:szCs w:val="20"/>
          <w:lang w:eastAsia="en-US"/>
        </w:rPr>
        <w:t>drip</w:t>
      </w:r>
      <w:r>
        <w:rPr>
          <w:rFonts w:ascii="Cambria" w:hAnsi="Cambria" w:cs="ArialMT"/>
          <w:sz w:val="20"/>
          <w:szCs w:val="20"/>
          <w:lang w:eastAsia="en-US"/>
        </w:rPr>
        <w:t xml:space="preserve">. </w:t>
      </w:r>
      <w:r w:rsidRPr="005B6693">
        <w:rPr>
          <w:rFonts w:ascii="Cambria" w:hAnsi="Cambria" w:cs="Arial"/>
          <w:sz w:val="20"/>
          <w:szCs w:val="20"/>
        </w:rPr>
        <w:t xml:space="preserve">Her B12, </w:t>
      </w:r>
      <w:proofErr w:type="spellStart"/>
      <w:r w:rsidRPr="005B6693">
        <w:rPr>
          <w:rFonts w:ascii="Cambria" w:hAnsi="Cambria" w:cs="Arial"/>
          <w:sz w:val="20"/>
          <w:szCs w:val="20"/>
        </w:rPr>
        <w:t>folate</w:t>
      </w:r>
      <w:proofErr w:type="spellEnd"/>
      <w:r w:rsidRPr="005B6693">
        <w:rPr>
          <w:rFonts w:ascii="Cambria" w:hAnsi="Cambria" w:cs="Arial"/>
          <w:sz w:val="20"/>
          <w:szCs w:val="20"/>
        </w:rPr>
        <w:t>, thiamine, TSH and toxicology screen were unremarkable with the exception of an ammonia level of 371. There was no</w:t>
      </w:r>
      <w:r>
        <w:rPr>
          <w:rFonts w:ascii="Cambria" w:hAnsi="Cambria" w:cs="Arial"/>
          <w:sz w:val="20"/>
          <w:szCs w:val="20"/>
        </w:rPr>
        <w:t xml:space="preserve"> other</w:t>
      </w:r>
      <w:r w:rsidRPr="005B6693">
        <w:rPr>
          <w:rFonts w:ascii="Cambria" w:hAnsi="Cambria" w:cs="Arial"/>
          <w:sz w:val="20"/>
          <w:szCs w:val="20"/>
        </w:rPr>
        <w:t xml:space="preserve"> evidence of</w:t>
      </w:r>
      <w:r>
        <w:rPr>
          <w:rFonts w:ascii="Cambria" w:hAnsi="Cambria" w:cs="Arial"/>
          <w:sz w:val="20"/>
          <w:szCs w:val="20"/>
        </w:rPr>
        <w:t xml:space="preserve"> </w:t>
      </w:r>
      <w:r w:rsidRPr="005B6693">
        <w:rPr>
          <w:rFonts w:ascii="Cambria" w:hAnsi="Cambria" w:cs="Arial"/>
          <w:sz w:val="20"/>
          <w:szCs w:val="20"/>
        </w:rPr>
        <w:t xml:space="preserve">liver failure. </w:t>
      </w:r>
      <w:r>
        <w:rPr>
          <w:rFonts w:ascii="Cambria" w:hAnsi="Cambria" w:cs="Arial"/>
          <w:sz w:val="20"/>
          <w:szCs w:val="20"/>
        </w:rPr>
        <w:t xml:space="preserve"> </w:t>
      </w:r>
      <w:r w:rsidRPr="005B6693">
        <w:rPr>
          <w:rFonts w:ascii="Cambria" w:hAnsi="Cambria" w:cs="Arial"/>
          <w:sz w:val="20"/>
          <w:szCs w:val="20"/>
        </w:rPr>
        <w:t xml:space="preserve">As a part of her treatment, she was given multiple doses of </w:t>
      </w:r>
      <w:proofErr w:type="spellStart"/>
      <w:r w:rsidRPr="005B6693">
        <w:rPr>
          <w:rFonts w:ascii="Cambria" w:hAnsi="Cambria" w:cs="Arial"/>
          <w:sz w:val="20"/>
          <w:szCs w:val="20"/>
        </w:rPr>
        <w:t>lactulose</w:t>
      </w:r>
      <w:proofErr w:type="spellEnd"/>
      <w:r w:rsidRPr="005B6693">
        <w:rPr>
          <w:rFonts w:ascii="Cambria" w:hAnsi="Cambria" w:cs="Arial"/>
          <w:sz w:val="20"/>
          <w:szCs w:val="20"/>
        </w:rPr>
        <w:t xml:space="preserve"> but failed to improve clinicall</w:t>
      </w:r>
      <w:r>
        <w:rPr>
          <w:rFonts w:ascii="Cambria" w:hAnsi="Cambria" w:cs="Arial"/>
          <w:sz w:val="20"/>
          <w:szCs w:val="20"/>
        </w:rPr>
        <w:t xml:space="preserve">y. Genetics was consulted for a </w:t>
      </w:r>
      <w:r w:rsidRPr="005B6693">
        <w:rPr>
          <w:rFonts w:ascii="Cambria" w:hAnsi="Cambria" w:cs="Arial"/>
          <w:sz w:val="20"/>
          <w:szCs w:val="20"/>
        </w:rPr>
        <w:t xml:space="preserve">suspected urea cycle defect. She was treated with scavenger agents (sodium phenyl acetate and sodium benzoate). Her ammonia level improved </w:t>
      </w:r>
      <w:r>
        <w:rPr>
          <w:rFonts w:ascii="Cambria" w:hAnsi="Cambria" w:cs="Arial"/>
          <w:sz w:val="20"/>
          <w:szCs w:val="20"/>
        </w:rPr>
        <w:t xml:space="preserve">to the </w:t>
      </w:r>
      <w:r w:rsidRPr="005B6693">
        <w:rPr>
          <w:rFonts w:ascii="Cambria" w:hAnsi="Cambria" w:cs="Arial"/>
          <w:sz w:val="20"/>
          <w:szCs w:val="20"/>
        </w:rPr>
        <w:t>normal</w:t>
      </w:r>
      <w:r>
        <w:rPr>
          <w:rFonts w:ascii="Cambria" w:hAnsi="Cambria" w:cs="Arial"/>
          <w:sz w:val="20"/>
          <w:szCs w:val="20"/>
        </w:rPr>
        <w:t xml:space="preserve"> range</w:t>
      </w:r>
      <w:r w:rsidRPr="005B6693">
        <w:rPr>
          <w:rFonts w:ascii="Cambria" w:hAnsi="Cambria" w:cs="Arial"/>
          <w:sz w:val="20"/>
          <w:szCs w:val="20"/>
        </w:rPr>
        <w:t xml:space="preserve"> within 24 hours. </w:t>
      </w:r>
    </w:p>
    <w:p w:rsidR="005932C8" w:rsidRDefault="005932C8" w:rsidP="009F3433">
      <w:pPr>
        <w:pStyle w:val="PlainText"/>
        <w:ind w:firstLine="720"/>
        <w:rPr>
          <w:rFonts w:ascii="Cambria" w:hAnsi="Cambria" w:cs="Arial"/>
          <w:sz w:val="20"/>
          <w:szCs w:val="20"/>
        </w:rPr>
      </w:pPr>
      <w:r w:rsidRPr="005B6693">
        <w:rPr>
          <w:rFonts w:ascii="Cambria" w:hAnsi="Cambria" w:cs="Arial"/>
          <w:sz w:val="20"/>
          <w:szCs w:val="20"/>
        </w:rPr>
        <w:t xml:space="preserve">Shortly after the patient's arrival, the patient experienced three episodes of non-sustained ventricular tachycardia. These episodes did not result in </w:t>
      </w:r>
      <w:r>
        <w:rPr>
          <w:rFonts w:ascii="Cambria" w:hAnsi="Cambria" w:cs="Arial"/>
          <w:sz w:val="20"/>
          <w:szCs w:val="20"/>
        </w:rPr>
        <w:t xml:space="preserve">medically significant </w:t>
      </w:r>
      <w:r w:rsidRPr="005B6693">
        <w:rPr>
          <w:rFonts w:ascii="Cambria" w:hAnsi="Cambria" w:cs="Arial"/>
          <w:sz w:val="20"/>
          <w:szCs w:val="20"/>
        </w:rPr>
        <w:t xml:space="preserve">hypotension or </w:t>
      </w:r>
      <w:proofErr w:type="spellStart"/>
      <w:proofErr w:type="gramStart"/>
      <w:r w:rsidRPr="005B6693">
        <w:rPr>
          <w:rFonts w:ascii="Cambria" w:hAnsi="Cambria" w:cs="Arial"/>
          <w:sz w:val="20"/>
          <w:szCs w:val="20"/>
        </w:rPr>
        <w:t>desaturation</w:t>
      </w:r>
      <w:proofErr w:type="spellEnd"/>
      <w:r w:rsidRPr="005B6693">
        <w:rPr>
          <w:rFonts w:ascii="Cambria" w:hAnsi="Cambria" w:cs="Arial"/>
          <w:sz w:val="20"/>
          <w:szCs w:val="20"/>
        </w:rPr>
        <w:t>,</w:t>
      </w:r>
      <w:proofErr w:type="gramEnd"/>
      <w:r w:rsidRPr="005B6693">
        <w:rPr>
          <w:rFonts w:ascii="Cambria" w:hAnsi="Cambria" w:cs="Arial"/>
          <w:sz w:val="20"/>
          <w:szCs w:val="20"/>
        </w:rPr>
        <w:t xml:space="preserve"> however the patient </w:t>
      </w:r>
      <w:r>
        <w:rPr>
          <w:rFonts w:ascii="Cambria" w:hAnsi="Cambria" w:cs="Arial"/>
          <w:sz w:val="20"/>
          <w:szCs w:val="20"/>
        </w:rPr>
        <w:t xml:space="preserve">deteriorated clinically and </w:t>
      </w:r>
      <w:r w:rsidRPr="005B6693">
        <w:rPr>
          <w:rFonts w:ascii="Cambria" w:hAnsi="Cambria" w:cs="Arial"/>
          <w:sz w:val="20"/>
          <w:szCs w:val="20"/>
        </w:rPr>
        <w:t>became obtunded. She was noted to have roving eye movements and posturing</w:t>
      </w:r>
      <w:r>
        <w:rPr>
          <w:rFonts w:ascii="Cambria" w:hAnsi="Cambria" w:cs="Arial"/>
          <w:sz w:val="20"/>
          <w:szCs w:val="20"/>
        </w:rPr>
        <w:t xml:space="preserve"> of all four limbs</w:t>
      </w:r>
      <w:r w:rsidRPr="005B6693">
        <w:rPr>
          <w:rFonts w:ascii="Cambria" w:hAnsi="Cambria" w:cs="Arial"/>
          <w:sz w:val="20"/>
          <w:szCs w:val="20"/>
        </w:rPr>
        <w:t xml:space="preserve">. </w:t>
      </w:r>
      <w:r w:rsidRPr="00A367D3">
        <w:rPr>
          <w:rFonts w:ascii="Cambria" w:hAnsi="Cambria" w:cs="Arial"/>
          <w:sz w:val="20"/>
          <w:szCs w:val="20"/>
        </w:rPr>
        <w:t>T</w:t>
      </w:r>
      <w:r>
        <w:rPr>
          <w:rFonts w:ascii="Cambria" w:hAnsi="Cambria" w:cs="Arial"/>
          <w:sz w:val="20"/>
          <w:szCs w:val="20"/>
        </w:rPr>
        <w:t>he patient received</w:t>
      </w:r>
      <w:r w:rsidRPr="005B6693">
        <w:rPr>
          <w:rFonts w:ascii="Cambria" w:hAnsi="Cambria" w:cs="Arial"/>
          <w:sz w:val="20"/>
          <w:szCs w:val="20"/>
        </w:rPr>
        <w:t xml:space="preserve"> heavy sedation and anticonvulsants for presumed status</w:t>
      </w:r>
      <w:r>
        <w:rPr>
          <w:rFonts w:ascii="Cambria" w:hAnsi="Cambria" w:cs="Arial"/>
          <w:sz w:val="20"/>
          <w:szCs w:val="20"/>
        </w:rPr>
        <w:t xml:space="preserve"> </w:t>
      </w:r>
      <w:proofErr w:type="spellStart"/>
      <w:r>
        <w:rPr>
          <w:rFonts w:ascii="Cambria" w:hAnsi="Cambria" w:cs="Arial"/>
          <w:sz w:val="20"/>
          <w:szCs w:val="20"/>
        </w:rPr>
        <w:t>epilepticus</w:t>
      </w:r>
      <w:proofErr w:type="spellEnd"/>
      <w:r w:rsidRPr="005B6693">
        <w:rPr>
          <w:rFonts w:ascii="Cambria" w:hAnsi="Cambria" w:cs="Arial"/>
          <w:sz w:val="20"/>
          <w:szCs w:val="20"/>
        </w:rPr>
        <w:t xml:space="preserve">, which </w:t>
      </w:r>
      <w:r>
        <w:rPr>
          <w:rFonts w:ascii="Cambria" w:hAnsi="Cambria" w:cs="Arial"/>
          <w:sz w:val="20"/>
          <w:szCs w:val="20"/>
        </w:rPr>
        <w:t xml:space="preserve">was later confirmed by </w:t>
      </w:r>
      <w:r w:rsidRPr="005B6693">
        <w:rPr>
          <w:rFonts w:ascii="Cambria" w:hAnsi="Cambria" w:cs="Arial"/>
          <w:sz w:val="20"/>
          <w:szCs w:val="20"/>
        </w:rPr>
        <w:t>EEG.  Her neurological exam was compromised by heavy sedation, but</w:t>
      </w:r>
      <w:r>
        <w:rPr>
          <w:rFonts w:ascii="Cambria" w:hAnsi="Cambria" w:cs="Arial"/>
          <w:sz w:val="20"/>
          <w:szCs w:val="20"/>
        </w:rPr>
        <w:t xml:space="preserve"> she did have</w:t>
      </w:r>
      <w:r w:rsidRPr="005B6693">
        <w:rPr>
          <w:rFonts w:ascii="Cambria" w:hAnsi="Cambria" w:cs="Arial"/>
          <w:sz w:val="20"/>
          <w:szCs w:val="20"/>
        </w:rPr>
        <w:t xml:space="preserve"> </w:t>
      </w:r>
      <w:r>
        <w:rPr>
          <w:rFonts w:ascii="Cambria" w:hAnsi="Cambria" w:cs="Arial"/>
          <w:sz w:val="20"/>
          <w:szCs w:val="20"/>
        </w:rPr>
        <w:t>a</w:t>
      </w:r>
      <w:r w:rsidRPr="005B6693">
        <w:rPr>
          <w:rFonts w:ascii="Cambria" w:hAnsi="Cambria" w:cs="Arial"/>
          <w:sz w:val="20"/>
          <w:szCs w:val="20"/>
        </w:rPr>
        <w:t xml:space="preserve"> minimal gag reflex</w:t>
      </w:r>
      <w:r w:rsidR="00C20CB2">
        <w:rPr>
          <w:rFonts w:ascii="Cambria" w:hAnsi="Cambria" w:cs="Arial"/>
          <w:sz w:val="20"/>
          <w:szCs w:val="20"/>
        </w:rPr>
        <w:t xml:space="preserve">, </w:t>
      </w:r>
      <w:r>
        <w:rPr>
          <w:rFonts w:ascii="Cambria" w:hAnsi="Cambria" w:cs="Arial"/>
          <w:sz w:val="20"/>
          <w:szCs w:val="20"/>
        </w:rPr>
        <w:t>but</w:t>
      </w:r>
      <w:r w:rsidRPr="005B6693">
        <w:rPr>
          <w:rFonts w:ascii="Cambria" w:hAnsi="Cambria" w:cs="Arial"/>
          <w:sz w:val="20"/>
          <w:szCs w:val="20"/>
        </w:rPr>
        <w:t xml:space="preserve"> no </w:t>
      </w:r>
      <w:r>
        <w:rPr>
          <w:rFonts w:ascii="Cambria" w:hAnsi="Cambria" w:cs="Arial"/>
          <w:sz w:val="20"/>
          <w:szCs w:val="20"/>
        </w:rPr>
        <w:t xml:space="preserve">other </w:t>
      </w:r>
      <w:r w:rsidRPr="005B6693">
        <w:rPr>
          <w:rFonts w:ascii="Cambria" w:hAnsi="Cambria" w:cs="Arial"/>
          <w:sz w:val="20"/>
          <w:szCs w:val="20"/>
        </w:rPr>
        <w:t xml:space="preserve">brainstem reflexes, no </w:t>
      </w:r>
      <w:proofErr w:type="spellStart"/>
      <w:r>
        <w:rPr>
          <w:rFonts w:ascii="Cambria" w:hAnsi="Cambria" w:cs="Arial"/>
          <w:sz w:val="20"/>
          <w:szCs w:val="20"/>
        </w:rPr>
        <w:t>elicitable</w:t>
      </w:r>
      <w:proofErr w:type="spellEnd"/>
      <w:r>
        <w:rPr>
          <w:rFonts w:ascii="Cambria" w:hAnsi="Cambria" w:cs="Arial"/>
          <w:sz w:val="20"/>
          <w:szCs w:val="20"/>
        </w:rPr>
        <w:t xml:space="preserve"> </w:t>
      </w:r>
      <w:r w:rsidRPr="005B6693">
        <w:rPr>
          <w:rFonts w:ascii="Cambria" w:hAnsi="Cambria" w:cs="Arial"/>
          <w:sz w:val="20"/>
          <w:szCs w:val="20"/>
        </w:rPr>
        <w:t xml:space="preserve">response to pain, and </w:t>
      </w:r>
      <w:r>
        <w:rPr>
          <w:rFonts w:ascii="Cambria" w:hAnsi="Cambria" w:cs="Arial"/>
          <w:sz w:val="20"/>
          <w:szCs w:val="20"/>
        </w:rPr>
        <w:t>no response to plantar stimulation</w:t>
      </w:r>
      <w:r w:rsidRPr="005B6693">
        <w:rPr>
          <w:rFonts w:ascii="Cambria" w:hAnsi="Cambria" w:cs="Arial"/>
          <w:sz w:val="20"/>
          <w:szCs w:val="20"/>
        </w:rPr>
        <w:t xml:space="preserve"> bilaterally. Initial MRI brain revealed diffuse restricted diffusions in bilateral insular lobes and cerebral cortex, suggestive of hypoxic-ischemic injury. </w:t>
      </w:r>
      <w:r>
        <w:rPr>
          <w:rFonts w:ascii="Cambria" w:hAnsi="Cambria" w:cs="Arial"/>
          <w:sz w:val="20"/>
          <w:szCs w:val="20"/>
        </w:rPr>
        <w:t xml:space="preserve"> </w:t>
      </w:r>
    </w:p>
    <w:p w:rsidR="005932C8" w:rsidRPr="009F3433" w:rsidRDefault="005932C8" w:rsidP="009F3433">
      <w:pPr>
        <w:pStyle w:val="PlainText"/>
        <w:ind w:firstLine="720"/>
        <w:rPr>
          <w:rFonts w:ascii="Cambria" w:hAnsi="Cambria" w:cs="Arial"/>
          <w:sz w:val="20"/>
          <w:szCs w:val="20"/>
        </w:rPr>
      </w:pPr>
      <w:r w:rsidRPr="005B6693">
        <w:rPr>
          <w:rFonts w:ascii="Cambria" w:hAnsi="Cambria" w:cs="Arial"/>
          <w:sz w:val="20"/>
          <w:szCs w:val="20"/>
        </w:rPr>
        <w:t xml:space="preserve">Her acute </w:t>
      </w:r>
      <w:r>
        <w:rPr>
          <w:rFonts w:ascii="Cambria" w:hAnsi="Cambria" w:cs="Arial"/>
          <w:sz w:val="20"/>
          <w:szCs w:val="20"/>
        </w:rPr>
        <w:t xml:space="preserve">clinical </w:t>
      </w:r>
      <w:proofErr w:type="spellStart"/>
      <w:r w:rsidRPr="005B6693">
        <w:rPr>
          <w:rFonts w:ascii="Cambria" w:hAnsi="Cambria" w:cs="Arial"/>
          <w:sz w:val="20"/>
          <w:szCs w:val="20"/>
        </w:rPr>
        <w:t>decompensation</w:t>
      </w:r>
      <w:proofErr w:type="spellEnd"/>
      <w:r w:rsidRPr="005B6693">
        <w:rPr>
          <w:rFonts w:ascii="Cambria" w:hAnsi="Cambria" w:cs="Arial"/>
          <w:sz w:val="20"/>
          <w:szCs w:val="20"/>
        </w:rPr>
        <w:t xml:space="preserve"> and high ammonia prompted extensive work up of her nutritional status, including amino acid deficiencies</w:t>
      </w:r>
      <w:r>
        <w:rPr>
          <w:rFonts w:ascii="Cambria" w:hAnsi="Cambria" w:cs="Arial"/>
          <w:sz w:val="20"/>
          <w:szCs w:val="20"/>
        </w:rPr>
        <w:t xml:space="preserve">. </w:t>
      </w:r>
      <w:r w:rsidRPr="005B6693">
        <w:rPr>
          <w:rFonts w:ascii="Cambria" w:hAnsi="Cambria" w:cs="ArialMT"/>
          <w:sz w:val="20"/>
          <w:szCs w:val="20"/>
        </w:rPr>
        <w:t xml:space="preserve">Other causes </w:t>
      </w:r>
      <w:r>
        <w:rPr>
          <w:rFonts w:ascii="Cambria" w:hAnsi="Cambria" w:cs="ArialMT"/>
          <w:sz w:val="20"/>
          <w:szCs w:val="20"/>
        </w:rPr>
        <w:t xml:space="preserve">of </w:t>
      </w:r>
      <w:r w:rsidRPr="005B6693">
        <w:rPr>
          <w:rFonts w:ascii="Cambria" w:hAnsi="Cambria" w:cs="ArialMT"/>
          <w:sz w:val="20"/>
          <w:szCs w:val="20"/>
        </w:rPr>
        <w:t xml:space="preserve">acute </w:t>
      </w:r>
      <w:proofErr w:type="spellStart"/>
      <w:r w:rsidRPr="005B6693">
        <w:rPr>
          <w:rFonts w:ascii="Cambria" w:hAnsi="Cambria" w:cs="ArialMT"/>
          <w:sz w:val="20"/>
          <w:szCs w:val="20"/>
        </w:rPr>
        <w:t>hyperammonemia</w:t>
      </w:r>
      <w:proofErr w:type="spellEnd"/>
      <w:r w:rsidRPr="005B6693">
        <w:rPr>
          <w:rFonts w:ascii="Cambria" w:hAnsi="Cambria" w:cs="ArialMT"/>
          <w:sz w:val="20"/>
          <w:szCs w:val="20"/>
        </w:rPr>
        <w:t xml:space="preserve"> in adults were considered</w:t>
      </w:r>
      <w:r>
        <w:rPr>
          <w:rFonts w:ascii="Cambria" w:hAnsi="Cambria" w:cs="ArialMT"/>
          <w:sz w:val="20"/>
          <w:szCs w:val="20"/>
        </w:rPr>
        <w:t>,</w:t>
      </w:r>
      <w:r w:rsidRPr="005B6693">
        <w:rPr>
          <w:rFonts w:ascii="Cambria" w:hAnsi="Cambria" w:cs="ArialMT"/>
          <w:sz w:val="20"/>
          <w:szCs w:val="20"/>
        </w:rPr>
        <w:t xml:space="preserve"> such as malignancy, multiple myeloma a</w:t>
      </w:r>
      <w:r>
        <w:rPr>
          <w:rFonts w:ascii="Cambria" w:hAnsi="Cambria" w:cs="ArialMT"/>
          <w:sz w:val="20"/>
          <w:szCs w:val="20"/>
        </w:rPr>
        <w:t xml:space="preserve">nd </w:t>
      </w:r>
      <w:proofErr w:type="spellStart"/>
      <w:r>
        <w:rPr>
          <w:rFonts w:ascii="Cambria" w:hAnsi="Cambria" w:cs="ArialMT"/>
          <w:sz w:val="20"/>
          <w:szCs w:val="20"/>
        </w:rPr>
        <w:t>valproate</w:t>
      </w:r>
      <w:proofErr w:type="spellEnd"/>
      <w:r>
        <w:rPr>
          <w:rFonts w:ascii="Cambria" w:hAnsi="Cambria" w:cs="ArialMT"/>
          <w:sz w:val="20"/>
          <w:szCs w:val="20"/>
        </w:rPr>
        <w:t xml:space="preserve">-induced </w:t>
      </w:r>
      <w:proofErr w:type="spellStart"/>
      <w:r>
        <w:rPr>
          <w:rFonts w:ascii="Cambria" w:hAnsi="Cambria" w:cs="ArialMT"/>
          <w:sz w:val="20"/>
          <w:szCs w:val="20"/>
        </w:rPr>
        <w:t>hyperammonemi</w:t>
      </w:r>
      <w:r w:rsidRPr="005B6693">
        <w:rPr>
          <w:rFonts w:ascii="Cambria" w:hAnsi="Cambria" w:cs="ArialMT"/>
          <w:sz w:val="20"/>
          <w:szCs w:val="20"/>
        </w:rPr>
        <w:t>a</w:t>
      </w:r>
      <w:proofErr w:type="spellEnd"/>
      <w:r>
        <w:rPr>
          <w:rFonts w:ascii="Cambria" w:hAnsi="Cambria" w:cs="ArialMT"/>
          <w:sz w:val="20"/>
          <w:szCs w:val="20"/>
        </w:rPr>
        <w:t xml:space="preserve">. </w:t>
      </w:r>
      <w:r w:rsidRPr="005B6693">
        <w:rPr>
          <w:rFonts w:ascii="Cambria" w:hAnsi="Cambria" w:cs="ArialMT"/>
          <w:sz w:val="20"/>
          <w:szCs w:val="20"/>
        </w:rPr>
        <w:t>Her</w:t>
      </w:r>
      <w:r>
        <w:rPr>
          <w:rFonts w:ascii="Cambria" w:hAnsi="Cambria" w:cs="ArialMT"/>
          <w:sz w:val="20"/>
          <w:szCs w:val="20"/>
        </w:rPr>
        <w:t xml:space="preserve"> </w:t>
      </w:r>
      <w:proofErr w:type="spellStart"/>
      <w:r>
        <w:rPr>
          <w:rFonts w:ascii="Cambria" w:hAnsi="Cambria" w:cs="ArialMT"/>
          <w:sz w:val="20"/>
          <w:szCs w:val="20"/>
        </w:rPr>
        <w:t>immu</w:t>
      </w:r>
      <w:r w:rsidR="00C20CB2">
        <w:rPr>
          <w:rFonts w:ascii="Cambria" w:hAnsi="Cambria" w:cs="ArialMT"/>
          <w:sz w:val="20"/>
          <w:szCs w:val="20"/>
        </w:rPr>
        <w:t>n</w:t>
      </w:r>
      <w:r>
        <w:rPr>
          <w:rFonts w:ascii="Cambria" w:hAnsi="Cambria" w:cs="ArialMT"/>
          <w:sz w:val="20"/>
          <w:szCs w:val="20"/>
        </w:rPr>
        <w:t>ofixation</w:t>
      </w:r>
      <w:proofErr w:type="spellEnd"/>
      <w:r>
        <w:rPr>
          <w:rFonts w:ascii="Cambria" w:hAnsi="Cambria" w:cs="ArialMT"/>
          <w:sz w:val="20"/>
          <w:szCs w:val="20"/>
        </w:rPr>
        <w:t xml:space="preserve"> revealed an </w:t>
      </w:r>
      <w:proofErr w:type="spellStart"/>
      <w:r>
        <w:rPr>
          <w:rFonts w:ascii="Cambria" w:hAnsi="Cambria" w:cs="ArialMT"/>
          <w:sz w:val="20"/>
          <w:szCs w:val="20"/>
        </w:rPr>
        <w:t>IgA</w:t>
      </w:r>
      <w:proofErr w:type="spellEnd"/>
      <w:r>
        <w:rPr>
          <w:rFonts w:ascii="Cambria" w:hAnsi="Cambria" w:cs="ArialMT"/>
          <w:sz w:val="20"/>
          <w:szCs w:val="20"/>
        </w:rPr>
        <w:t xml:space="preserve"> lambda monoclonal band, but there was no </w:t>
      </w:r>
      <w:r w:rsidRPr="00A367D3">
        <w:rPr>
          <w:rFonts w:ascii="Cambria" w:hAnsi="Cambria" w:cs="ArialMT"/>
          <w:sz w:val="20"/>
          <w:szCs w:val="20"/>
        </w:rPr>
        <w:t>evidence of multiple myeloma or cancer.</w:t>
      </w:r>
      <w:r>
        <w:rPr>
          <w:rFonts w:ascii="ArialMT" w:hAnsi="ArialMT" w:cs="ArialMT"/>
          <w:sz w:val="20"/>
          <w:szCs w:val="20"/>
        </w:rPr>
        <w:t xml:space="preserve"> </w:t>
      </w:r>
      <w:r>
        <w:rPr>
          <w:rFonts w:ascii="Cambria" w:hAnsi="Cambria" w:cs="ArialMT"/>
          <w:sz w:val="20"/>
          <w:szCs w:val="20"/>
        </w:rPr>
        <w:t xml:space="preserve">Her </w:t>
      </w:r>
      <w:proofErr w:type="spellStart"/>
      <w:r>
        <w:rPr>
          <w:rFonts w:ascii="Cambria" w:hAnsi="Cambria" w:cs="ArialMT"/>
          <w:sz w:val="20"/>
          <w:szCs w:val="20"/>
        </w:rPr>
        <w:t>v</w:t>
      </w:r>
      <w:r w:rsidRPr="005B6693">
        <w:rPr>
          <w:rFonts w:ascii="Cambria" w:hAnsi="Cambria" w:cs="ArialMT"/>
          <w:sz w:val="20"/>
          <w:szCs w:val="20"/>
        </w:rPr>
        <w:t>alproate</w:t>
      </w:r>
      <w:proofErr w:type="spellEnd"/>
      <w:r w:rsidRPr="005B6693">
        <w:rPr>
          <w:rFonts w:ascii="Cambria" w:hAnsi="Cambria" w:cs="ArialMT"/>
          <w:sz w:val="20"/>
          <w:szCs w:val="20"/>
        </w:rPr>
        <w:t xml:space="preserve"> level </w:t>
      </w:r>
      <w:r>
        <w:rPr>
          <w:rFonts w:ascii="Cambria" w:hAnsi="Cambria" w:cs="ArialMT"/>
          <w:sz w:val="20"/>
          <w:szCs w:val="20"/>
        </w:rPr>
        <w:t>was l</w:t>
      </w:r>
      <w:r w:rsidRPr="005B6693">
        <w:rPr>
          <w:rFonts w:ascii="Cambria" w:hAnsi="Cambria" w:cs="ArialMT"/>
          <w:sz w:val="20"/>
          <w:szCs w:val="20"/>
        </w:rPr>
        <w:t>ess than 10</w:t>
      </w:r>
      <w:r>
        <w:rPr>
          <w:rFonts w:ascii="Cambria" w:hAnsi="Cambria" w:cs="ArialMT"/>
          <w:sz w:val="20"/>
          <w:szCs w:val="20"/>
        </w:rPr>
        <w:t xml:space="preserve">, making this </w:t>
      </w:r>
      <w:r w:rsidR="006374BB">
        <w:rPr>
          <w:rFonts w:ascii="Cambria" w:hAnsi="Cambria" w:cs="ArialMT"/>
          <w:sz w:val="20"/>
          <w:szCs w:val="20"/>
        </w:rPr>
        <w:t>etiology</w:t>
      </w:r>
      <w:r>
        <w:rPr>
          <w:rFonts w:ascii="Cambria" w:hAnsi="Cambria" w:cs="ArialMT"/>
          <w:sz w:val="20"/>
          <w:szCs w:val="20"/>
        </w:rPr>
        <w:t xml:space="preserve"> unlikely.  </w:t>
      </w:r>
      <w:r w:rsidRPr="005B6693">
        <w:rPr>
          <w:rFonts w:ascii="Cambria" w:hAnsi="Cambria" w:cs="ArialMT"/>
          <w:sz w:val="20"/>
          <w:szCs w:val="20"/>
        </w:rPr>
        <w:t>Less common causes</w:t>
      </w:r>
      <w:r>
        <w:rPr>
          <w:rFonts w:ascii="Cambria" w:hAnsi="Cambria" w:cs="ArialMT"/>
          <w:sz w:val="20"/>
          <w:szCs w:val="20"/>
        </w:rPr>
        <w:t>,</w:t>
      </w:r>
      <w:r w:rsidRPr="005B6693">
        <w:rPr>
          <w:rFonts w:ascii="Cambria" w:hAnsi="Cambria" w:cs="ArialMT"/>
          <w:sz w:val="20"/>
          <w:szCs w:val="20"/>
        </w:rPr>
        <w:t xml:space="preserve"> such as inborn and acquired errors</w:t>
      </w:r>
      <w:r>
        <w:rPr>
          <w:rFonts w:ascii="Cambria" w:hAnsi="Cambria" w:cs="ArialMT"/>
          <w:sz w:val="20"/>
          <w:szCs w:val="20"/>
        </w:rPr>
        <w:t xml:space="preserve"> of metabolism,</w:t>
      </w:r>
      <w:r w:rsidRPr="005B6693">
        <w:rPr>
          <w:rFonts w:ascii="Cambria" w:hAnsi="Cambria" w:cs="ArialMT"/>
          <w:sz w:val="20"/>
          <w:szCs w:val="20"/>
        </w:rPr>
        <w:t xml:space="preserve"> were further investigated. A low </w:t>
      </w:r>
      <w:proofErr w:type="spellStart"/>
      <w:r w:rsidRPr="005B6693">
        <w:rPr>
          <w:rFonts w:ascii="Cambria" w:hAnsi="Cambria" w:cs="ArialMT"/>
          <w:sz w:val="20"/>
          <w:szCs w:val="20"/>
        </w:rPr>
        <w:t>carnitine</w:t>
      </w:r>
      <w:proofErr w:type="spellEnd"/>
      <w:r w:rsidRPr="005B6693">
        <w:rPr>
          <w:rFonts w:ascii="Cambria" w:hAnsi="Cambria" w:cs="ArialMT"/>
          <w:sz w:val="20"/>
          <w:szCs w:val="20"/>
        </w:rPr>
        <w:t xml:space="preserve"> level in the setting of </w:t>
      </w:r>
      <w:proofErr w:type="spellStart"/>
      <w:r w:rsidRPr="005B6693">
        <w:rPr>
          <w:rFonts w:ascii="Cambria" w:hAnsi="Cambria" w:cs="ArialMT"/>
          <w:sz w:val="20"/>
          <w:szCs w:val="20"/>
        </w:rPr>
        <w:t>hyperammonemia</w:t>
      </w:r>
      <w:proofErr w:type="spellEnd"/>
      <w:r w:rsidRPr="005B6693">
        <w:rPr>
          <w:rFonts w:ascii="Cambria" w:hAnsi="Cambria" w:cs="ArialMT"/>
          <w:sz w:val="20"/>
          <w:szCs w:val="20"/>
        </w:rPr>
        <w:t xml:space="preserve">, a high </w:t>
      </w:r>
      <w:proofErr w:type="spellStart"/>
      <w:r>
        <w:rPr>
          <w:rFonts w:ascii="Cambria" w:hAnsi="Cambria" w:cs="ArialMT"/>
          <w:sz w:val="20"/>
          <w:szCs w:val="20"/>
        </w:rPr>
        <w:t>creatine</w:t>
      </w:r>
      <w:proofErr w:type="spellEnd"/>
      <w:r>
        <w:rPr>
          <w:rFonts w:ascii="Cambria" w:hAnsi="Cambria" w:cs="ArialMT"/>
          <w:sz w:val="20"/>
          <w:szCs w:val="20"/>
        </w:rPr>
        <w:t xml:space="preserve"> </w:t>
      </w:r>
      <w:proofErr w:type="spellStart"/>
      <w:r>
        <w:rPr>
          <w:rFonts w:ascii="Cambria" w:hAnsi="Cambria" w:cs="ArialMT"/>
          <w:sz w:val="20"/>
          <w:szCs w:val="20"/>
        </w:rPr>
        <w:t>kinase</w:t>
      </w:r>
      <w:proofErr w:type="spellEnd"/>
      <w:r>
        <w:rPr>
          <w:rFonts w:ascii="Cambria" w:hAnsi="Cambria" w:cs="ArialMT"/>
          <w:sz w:val="20"/>
          <w:szCs w:val="20"/>
        </w:rPr>
        <w:t xml:space="preserve"> </w:t>
      </w:r>
      <w:r w:rsidRPr="005B6693">
        <w:rPr>
          <w:rFonts w:ascii="Cambria" w:hAnsi="Cambria" w:cs="ArialMT"/>
          <w:sz w:val="20"/>
          <w:szCs w:val="20"/>
        </w:rPr>
        <w:t xml:space="preserve">(peripheral metabolism), a high triglyceride level (ketosis), and low BUN (2-3) supported a metabolic defect. </w:t>
      </w:r>
      <w:r>
        <w:rPr>
          <w:rFonts w:ascii="Cambria" w:hAnsi="Cambria" w:cs="ArialMT"/>
          <w:sz w:val="20"/>
          <w:szCs w:val="20"/>
        </w:rPr>
        <w:t>A q</w:t>
      </w:r>
      <w:r w:rsidRPr="005B6693">
        <w:rPr>
          <w:rFonts w:ascii="Cambria" w:hAnsi="Cambria" w:cs="ArialMT"/>
          <w:sz w:val="20"/>
          <w:szCs w:val="20"/>
        </w:rPr>
        <w:t xml:space="preserve">uantitative amino acid panel was obtained. </w:t>
      </w:r>
      <w:proofErr w:type="spellStart"/>
      <w:r w:rsidRPr="005B6693">
        <w:rPr>
          <w:rFonts w:ascii="Cambria" w:hAnsi="Cambria" w:cs="ArialMT"/>
          <w:sz w:val="20"/>
          <w:szCs w:val="20"/>
        </w:rPr>
        <w:t>Taurine</w:t>
      </w:r>
      <w:proofErr w:type="spellEnd"/>
      <w:r w:rsidRPr="005B6693">
        <w:rPr>
          <w:rFonts w:ascii="Cambria" w:hAnsi="Cambria" w:cs="ArialMT"/>
          <w:sz w:val="20"/>
          <w:szCs w:val="20"/>
        </w:rPr>
        <w:t xml:space="preserve">, </w:t>
      </w:r>
      <w:proofErr w:type="spellStart"/>
      <w:r w:rsidRPr="005B6693">
        <w:rPr>
          <w:rFonts w:ascii="Cambria" w:hAnsi="Cambria" w:cs="ArialMT"/>
          <w:sz w:val="20"/>
          <w:szCs w:val="20"/>
        </w:rPr>
        <w:t>hydroxyproline</w:t>
      </w:r>
      <w:proofErr w:type="spellEnd"/>
      <w:r w:rsidRPr="005B6693">
        <w:rPr>
          <w:rFonts w:ascii="Cambria" w:hAnsi="Cambria" w:cs="ArialMT"/>
          <w:sz w:val="20"/>
          <w:szCs w:val="20"/>
        </w:rPr>
        <w:t xml:space="preserve">, </w:t>
      </w:r>
      <w:proofErr w:type="spellStart"/>
      <w:r w:rsidRPr="005B6693">
        <w:rPr>
          <w:rFonts w:ascii="Cambria" w:hAnsi="Cambria" w:cs="ArialMT"/>
          <w:sz w:val="20"/>
          <w:szCs w:val="20"/>
        </w:rPr>
        <w:t>proline</w:t>
      </w:r>
      <w:proofErr w:type="spellEnd"/>
      <w:r w:rsidRPr="005B6693">
        <w:rPr>
          <w:rFonts w:ascii="Cambria" w:hAnsi="Cambria" w:cs="ArialMT"/>
          <w:sz w:val="20"/>
          <w:szCs w:val="20"/>
        </w:rPr>
        <w:t xml:space="preserve">, </w:t>
      </w:r>
      <w:proofErr w:type="spellStart"/>
      <w:r w:rsidRPr="005B6693">
        <w:rPr>
          <w:rFonts w:ascii="Cambria" w:hAnsi="Cambria" w:cs="ArialMT"/>
          <w:sz w:val="20"/>
          <w:szCs w:val="20"/>
        </w:rPr>
        <w:t>threonine</w:t>
      </w:r>
      <w:proofErr w:type="spellEnd"/>
      <w:r w:rsidRPr="005B6693">
        <w:rPr>
          <w:rFonts w:ascii="Cambria" w:hAnsi="Cambria" w:cs="ArialMT"/>
          <w:sz w:val="20"/>
          <w:szCs w:val="20"/>
        </w:rPr>
        <w:t xml:space="preserve">, serine, </w:t>
      </w:r>
      <w:proofErr w:type="spellStart"/>
      <w:r w:rsidRPr="005B6693">
        <w:rPr>
          <w:rFonts w:ascii="Cambria" w:hAnsi="Cambria" w:cs="ArialMT"/>
          <w:sz w:val="20"/>
          <w:szCs w:val="20"/>
        </w:rPr>
        <w:t>glycine</w:t>
      </w:r>
      <w:proofErr w:type="gramStart"/>
      <w:r w:rsidRPr="005B6693">
        <w:rPr>
          <w:rFonts w:ascii="Cambria" w:hAnsi="Cambria" w:cs="ArialMT"/>
          <w:sz w:val="20"/>
          <w:szCs w:val="20"/>
        </w:rPr>
        <w:t>,alanine</w:t>
      </w:r>
      <w:proofErr w:type="spellEnd"/>
      <w:proofErr w:type="gramEnd"/>
      <w:r w:rsidRPr="005B6693">
        <w:rPr>
          <w:rFonts w:ascii="Cambria" w:hAnsi="Cambria" w:cs="ArialMT"/>
          <w:sz w:val="20"/>
          <w:szCs w:val="20"/>
        </w:rPr>
        <w:t xml:space="preserve">, </w:t>
      </w:r>
      <w:proofErr w:type="spellStart"/>
      <w:r w:rsidRPr="005B6693">
        <w:rPr>
          <w:rFonts w:ascii="Cambria" w:hAnsi="Cambria" w:cs="ArialMT"/>
          <w:sz w:val="20"/>
          <w:szCs w:val="20"/>
        </w:rPr>
        <w:t>citrulline</w:t>
      </w:r>
      <w:proofErr w:type="spellEnd"/>
      <w:r w:rsidRPr="005B6693">
        <w:rPr>
          <w:rFonts w:ascii="Cambria" w:hAnsi="Cambria" w:cs="ArialMT"/>
          <w:sz w:val="20"/>
          <w:szCs w:val="20"/>
        </w:rPr>
        <w:t xml:space="preserve">, </w:t>
      </w:r>
      <w:proofErr w:type="spellStart"/>
      <w:r w:rsidRPr="005B6693">
        <w:rPr>
          <w:rFonts w:ascii="Cambria" w:hAnsi="Cambria" w:cs="ArialMT"/>
          <w:sz w:val="20"/>
          <w:szCs w:val="20"/>
        </w:rPr>
        <w:t>valine</w:t>
      </w:r>
      <w:proofErr w:type="spellEnd"/>
      <w:r w:rsidRPr="005B6693">
        <w:rPr>
          <w:rFonts w:ascii="Cambria" w:hAnsi="Cambria" w:cs="ArialMT"/>
          <w:sz w:val="20"/>
          <w:szCs w:val="20"/>
        </w:rPr>
        <w:t xml:space="preserve">, </w:t>
      </w:r>
      <w:proofErr w:type="spellStart"/>
      <w:r w:rsidRPr="005B6693">
        <w:rPr>
          <w:rFonts w:ascii="Cambria" w:hAnsi="Cambria" w:cs="ArialMT"/>
          <w:sz w:val="20"/>
          <w:szCs w:val="20"/>
        </w:rPr>
        <w:t>methionine</w:t>
      </w:r>
      <w:proofErr w:type="spellEnd"/>
      <w:r w:rsidRPr="005B6693">
        <w:rPr>
          <w:rFonts w:ascii="Cambria" w:hAnsi="Cambria" w:cs="ArialMT"/>
          <w:sz w:val="20"/>
          <w:szCs w:val="20"/>
        </w:rPr>
        <w:t xml:space="preserve">, </w:t>
      </w:r>
      <w:proofErr w:type="spellStart"/>
      <w:r w:rsidRPr="005B6693">
        <w:rPr>
          <w:rFonts w:ascii="Cambria" w:hAnsi="Cambria" w:cs="ArialMT"/>
          <w:sz w:val="20"/>
          <w:szCs w:val="20"/>
        </w:rPr>
        <w:t>isoleucine</w:t>
      </w:r>
      <w:proofErr w:type="spellEnd"/>
      <w:r w:rsidRPr="005B6693">
        <w:rPr>
          <w:rFonts w:ascii="Cambria" w:hAnsi="Cambria" w:cs="ArialMT"/>
          <w:sz w:val="20"/>
          <w:szCs w:val="20"/>
        </w:rPr>
        <w:t xml:space="preserve">, </w:t>
      </w:r>
      <w:proofErr w:type="spellStart"/>
      <w:r w:rsidRPr="005B6693">
        <w:rPr>
          <w:rFonts w:ascii="Cambria" w:hAnsi="Cambria" w:cs="ArialMT"/>
          <w:sz w:val="20"/>
          <w:szCs w:val="20"/>
        </w:rPr>
        <w:t>leucine</w:t>
      </w:r>
      <w:proofErr w:type="spellEnd"/>
      <w:r w:rsidRPr="005B6693">
        <w:rPr>
          <w:rFonts w:ascii="Cambria" w:hAnsi="Cambria" w:cs="ArialMT"/>
          <w:sz w:val="20"/>
          <w:szCs w:val="20"/>
        </w:rPr>
        <w:t xml:space="preserve">, tyrosine, phenylalanine, and </w:t>
      </w:r>
      <w:proofErr w:type="spellStart"/>
      <w:r w:rsidRPr="005B6693">
        <w:rPr>
          <w:rFonts w:ascii="Cambria" w:hAnsi="Cambria" w:cs="ArialMT"/>
          <w:sz w:val="20"/>
          <w:szCs w:val="20"/>
        </w:rPr>
        <w:t>arginine</w:t>
      </w:r>
      <w:proofErr w:type="spellEnd"/>
      <w:r w:rsidRPr="005B6693">
        <w:rPr>
          <w:rFonts w:ascii="Cambria" w:hAnsi="Cambria" w:cs="ArialMT"/>
          <w:sz w:val="20"/>
          <w:szCs w:val="20"/>
        </w:rPr>
        <w:t xml:space="preserve"> were observed to be low. Aspartic acid, </w:t>
      </w:r>
      <w:proofErr w:type="spellStart"/>
      <w:r w:rsidRPr="005B6693">
        <w:rPr>
          <w:rFonts w:ascii="Cambria" w:hAnsi="Cambria" w:cs="ArialMT"/>
          <w:sz w:val="20"/>
          <w:szCs w:val="20"/>
        </w:rPr>
        <w:t>cystine</w:t>
      </w:r>
      <w:proofErr w:type="spellEnd"/>
      <w:r w:rsidRPr="005B6693">
        <w:rPr>
          <w:rFonts w:ascii="Cambria" w:hAnsi="Cambria" w:cs="ArialMT"/>
          <w:sz w:val="20"/>
          <w:szCs w:val="20"/>
        </w:rPr>
        <w:t xml:space="preserve">, lysine, and </w:t>
      </w:r>
      <w:proofErr w:type="spellStart"/>
      <w:r w:rsidRPr="005B6693">
        <w:rPr>
          <w:rFonts w:ascii="Cambria" w:hAnsi="Cambria" w:cs="ArialMT"/>
          <w:sz w:val="20"/>
          <w:szCs w:val="20"/>
        </w:rPr>
        <w:t>histidine</w:t>
      </w:r>
      <w:proofErr w:type="spellEnd"/>
      <w:r w:rsidRPr="005B6693">
        <w:rPr>
          <w:rFonts w:ascii="Cambria" w:hAnsi="Cambria" w:cs="ArialMT"/>
          <w:sz w:val="20"/>
          <w:szCs w:val="20"/>
        </w:rPr>
        <w:t xml:space="preserve"> were normal. Glutamine and </w:t>
      </w:r>
      <w:proofErr w:type="spellStart"/>
      <w:r w:rsidRPr="005B6693">
        <w:rPr>
          <w:rFonts w:ascii="Cambria" w:hAnsi="Cambria" w:cs="ArialMT"/>
          <w:sz w:val="20"/>
          <w:szCs w:val="20"/>
        </w:rPr>
        <w:t>ornithine</w:t>
      </w:r>
      <w:proofErr w:type="spellEnd"/>
      <w:r w:rsidRPr="005B6693">
        <w:rPr>
          <w:rFonts w:ascii="Cambria" w:hAnsi="Cambria" w:cs="ArialMT"/>
          <w:sz w:val="20"/>
          <w:szCs w:val="20"/>
        </w:rPr>
        <w:t xml:space="preserve"> were elevated. </w:t>
      </w:r>
      <w:r>
        <w:rPr>
          <w:rFonts w:ascii="Cambria" w:hAnsi="Cambria" w:cs="ArialMT"/>
          <w:sz w:val="20"/>
          <w:szCs w:val="20"/>
        </w:rPr>
        <w:t>T</w:t>
      </w:r>
      <w:r w:rsidRPr="005B6693">
        <w:rPr>
          <w:rFonts w:ascii="Cambria" w:hAnsi="Cambria" w:cs="ArialMT"/>
          <w:sz w:val="20"/>
          <w:szCs w:val="20"/>
        </w:rPr>
        <w:t>he patient’s amino acid panel</w:t>
      </w:r>
      <w:r>
        <w:rPr>
          <w:rFonts w:ascii="Cambria" w:hAnsi="Cambria" w:cs="ArialMT"/>
          <w:sz w:val="20"/>
          <w:szCs w:val="20"/>
        </w:rPr>
        <w:t xml:space="preserve"> (low </w:t>
      </w:r>
      <w:proofErr w:type="spellStart"/>
      <w:r>
        <w:rPr>
          <w:rFonts w:ascii="Cambria" w:hAnsi="Cambria" w:cs="ArialMT"/>
          <w:sz w:val="20"/>
          <w:szCs w:val="20"/>
        </w:rPr>
        <w:t>citrulline</w:t>
      </w:r>
      <w:proofErr w:type="spellEnd"/>
      <w:r>
        <w:rPr>
          <w:rFonts w:ascii="Cambria" w:hAnsi="Cambria" w:cs="ArialMT"/>
          <w:sz w:val="20"/>
          <w:szCs w:val="20"/>
        </w:rPr>
        <w:t xml:space="preserve">, low </w:t>
      </w:r>
      <w:proofErr w:type="spellStart"/>
      <w:r>
        <w:rPr>
          <w:rFonts w:ascii="Cambria" w:hAnsi="Cambria" w:cs="ArialMT"/>
          <w:sz w:val="20"/>
          <w:szCs w:val="20"/>
        </w:rPr>
        <w:t>arginine</w:t>
      </w:r>
      <w:proofErr w:type="spellEnd"/>
      <w:r>
        <w:rPr>
          <w:rFonts w:ascii="Cambria" w:hAnsi="Cambria" w:cs="ArialMT"/>
          <w:sz w:val="20"/>
          <w:szCs w:val="20"/>
        </w:rPr>
        <w:t>)</w:t>
      </w:r>
      <w:r w:rsidRPr="005B6693">
        <w:rPr>
          <w:rFonts w:ascii="Cambria" w:hAnsi="Cambria" w:cs="ArialMT"/>
          <w:sz w:val="20"/>
          <w:szCs w:val="20"/>
        </w:rPr>
        <w:t xml:space="preserve"> indicated that she most likely had an</w:t>
      </w:r>
      <w:r>
        <w:rPr>
          <w:rFonts w:ascii="Cambria" w:hAnsi="Cambria" w:cs="ArialMT"/>
          <w:sz w:val="20"/>
          <w:szCs w:val="20"/>
        </w:rPr>
        <w:t xml:space="preserve"> </w:t>
      </w:r>
      <w:proofErr w:type="spellStart"/>
      <w:r>
        <w:rPr>
          <w:rFonts w:ascii="Cambria" w:hAnsi="Cambria" w:cs="ArialMT"/>
          <w:sz w:val="20"/>
          <w:szCs w:val="20"/>
        </w:rPr>
        <w:t>ornithine</w:t>
      </w:r>
      <w:proofErr w:type="spellEnd"/>
      <w:r>
        <w:rPr>
          <w:rFonts w:ascii="Cambria" w:hAnsi="Cambria" w:cs="ArialMT"/>
          <w:sz w:val="20"/>
          <w:szCs w:val="20"/>
        </w:rPr>
        <w:t xml:space="preserve"> </w:t>
      </w:r>
      <w:proofErr w:type="spellStart"/>
      <w:r>
        <w:rPr>
          <w:rFonts w:ascii="Cambria" w:hAnsi="Cambria" w:cs="ArialMT"/>
          <w:sz w:val="20"/>
          <w:szCs w:val="20"/>
        </w:rPr>
        <w:t>transcarbamylase</w:t>
      </w:r>
      <w:proofErr w:type="spellEnd"/>
      <w:r>
        <w:rPr>
          <w:rFonts w:ascii="Cambria" w:hAnsi="Cambria" w:cs="ArialMT"/>
          <w:sz w:val="20"/>
          <w:szCs w:val="20"/>
        </w:rPr>
        <w:t xml:space="preserve"> (OTC) or </w:t>
      </w:r>
      <w:proofErr w:type="spellStart"/>
      <w:r>
        <w:rPr>
          <w:rFonts w:ascii="Cambria" w:hAnsi="Cambria" w:cs="ArialMT"/>
          <w:sz w:val="20"/>
          <w:szCs w:val="20"/>
        </w:rPr>
        <w:t>carbamoyl</w:t>
      </w:r>
      <w:proofErr w:type="spellEnd"/>
      <w:r>
        <w:rPr>
          <w:rFonts w:ascii="Cambria" w:hAnsi="Cambria" w:cs="ArialMT"/>
          <w:sz w:val="20"/>
          <w:szCs w:val="20"/>
        </w:rPr>
        <w:t xml:space="preserve"> phosphate </w:t>
      </w:r>
      <w:proofErr w:type="spellStart"/>
      <w:r>
        <w:rPr>
          <w:rFonts w:ascii="Cambria" w:hAnsi="Cambria" w:cs="ArialMT"/>
          <w:sz w:val="20"/>
          <w:szCs w:val="20"/>
        </w:rPr>
        <w:t>synthase</w:t>
      </w:r>
      <w:proofErr w:type="spellEnd"/>
      <w:r>
        <w:rPr>
          <w:rFonts w:ascii="Cambria" w:hAnsi="Cambria" w:cs="ArialMT"/>
          <w:sz w:val="20"/>
          <w:szCs w:val="20"/>
        </w:rPr>
        <w:t xml:space="preserve"> (CPS) dysfunction. </w:t>
      </w:r>
      <w:r w:rsidRPr="005B6693">
        <w:rPr>
          <w:rFonts w:ascii="Cambria" w:hAnsi="Cambria" w:cs="ArialMT"/>
          <w:sz w:val="20"/>
          <w:szCs w:val="20"/>
        </w:rPr>
        <w:t xml:space="preserve">However, the patient did not exhibit </w:t>
      </w:r>
      <w:proofErr w:type="spellStart"/>
      <w:r w:rsidRPr="005B6693">
        <w:rPr>
          <w:rFonts w:ascii="Cambria" w:hAnsi="Cambria" w:cs="ArialMT"/>
          <w:sz w:val="20"/>
          <w:szCs w:val="20"/>
        </w:rPr>
        <w:t>orotic</w:t>
      </w:r>
      <w:proofErr w:type="spellEnd"/>
      <w:r w:rsidRPr="005B6693">
        <w:rPr>
          <w:rFonts w:ascii="Cambria" w:hAnsi="Cambria" w:cs="ArialMT"/>
          <w:sz w:val="20"/>
          <w:szCs w:val="20"/>
        </w:rPr>
        <w:t xml:space="preserve"> </w:t>
      </w:r>
      <w:proofErr w:type="spellStart"/>
      <w:r w:rsidRPr="005B6693">
        <w:rPr>
          <w:rFonts w:ascii="Cambria" w:hAnsi="Cambria" w:cs="ArialMT"/>
          <w:sz w:val="20"/>
          <w:szCs w:val="20"/>
        </w:rPr>
        <w:t>aciduria</w:t>
      </w:r>
      <w:proofErr w:type="spellEnd"/>
      <w:r w:rsidRPr="005B6693">
        <w:rPr>
          <w:rFonts w:ascii="Cambria" w:hAnsi="Cambria" w:cs="ArialMT"/>
          <w:sz w:val="20"/>
          <w:szCs w:val="20"/>
        </w:rPr>
        <w:t xml:space="preserve"> to support OTC deficiency and genetic testi</w:t>
      </w:r>
      <w:r>
        <w:rPr>
          <w:rFonts w:ascii="Cambria" w:hAnsi="Cambria" w:cs="ArialMT"/>
          <w:sz w:val="20"/>
          <w:szCs w:val="20"/>
        </w:rPr>
        <w:t xml:space="preserve">ng from a liver biopsy failed to </w:t>
      </w:r>
      <w:r w:rsidRPr="005B6693">
        <w:rPr>
          <w:rFonts w:ascii="Cambria" w:hAnsi="Cambria" w:cs="ArialMT"/>
          <w:sz w:val="20"/>
          <w:szCs w:val="20"/>
        </w:rPr>
        <w:t>reveal any muta</w:t>
      </w:r>
      <w:r>
        <w:rPr>
          <w:rFonts w:ascii="Cambria" w:hAnsi="Cambria" w:cs="ArialMT"/>
          <w:sz w:val="20"/>
          <w:szCs w:val="20"/>
        </w:rPr>
        <w:t xml:space="preserve">tions to support CPS deficiency.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2"/>
        <w:gridCol w:w="2392"/>
      </w:tblGrid>
      <w:tr w:rsidR="005932C8" w:rsidRPr="000D7383" w:rsidTr="00F64215">
        <w:trPr>
          <w:trHeight w:val="225"/>
        </w:trPr>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Test</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Result</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Reference</w:t>
            </w:r>
          </w:p>
        </w:tc>
      </w:tr>
      <w:tr w:rsidR="005932C8" w:rsidRPr="000D7383" w:rsidTr="00F64215">
        <w:trPr>
          <w:trHeight w:val="232"/>
        </w:trPr>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proofErr w:type="spellStart"/>
            <w:r w:rsidRPr="00F64215">
              <w:rPr>
                <w:rFonts w:ascii="Times New Roman" w:hAnsi="Times New Roman" w:cs="Times New Roman"/>
                <w:sz w:val="20"/>
                <w:szCs w:val="20"/>
                <w:lang w:eastAsia="en-US"/>
              </w:rPr>
              <w:t>Taurine</w:t>
            </w:r>
            <w:proofErr w:type="spellEnd"/>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color w:val="FF0000"/>
                <w:sz w:val="20"/>
                <w:szCs w:val="20"/>
                <w:lang w:eastAsia="en-US"/>
              </w:rPr>
            </w:pPr>
            <w:r w:rsidRPr="00F64215">
              <w:rPr>
                <w:rFonts w:ascii="Times New Roman" w:hAnsi="Times New Roman" w:cs="Times New Roman"/>
                <w:color w:val="FF0000"/>
                <w:sz w:val="20"/>
                <w:szCs w:val="20"/>
                <w:lang w:eastAsia="en-US"/>
              </w:rPr>
              <w:t>18 µmol/L (L)</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25-80</w:t>
            </w:r>
          </w:p>
        </w:tc>
      </w:tr>
      <w:tr w:rsidR="005932C8" w:rsidRPr="000D7383" w:rsidTr="00F64215">
        <w:trPr>
          <w:trHeight w:val="225"/>
        </w:trPr>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Aspartic Acid</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10 µmol/L</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0-20</w:t>
            </w:r>
          </w:p>
        </w:tc>
      </w:tr>
      <w:tr w:rsidR="005932C8" w:rsidRPr="000D7383" w:rsidTr="00F64215">
        <w:trPr>
          <w:trHeight w:val="225"/>
        </w:trPr>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proofErr w:type="spellStart"/>
            <w:r w:rsidRPr="00F64215">
              <w:rPr>
                <w:rFonts w:ascii="Times New Roman" w:hAnsi="Times New Roman" w:cs="Times New Roman"/>
                <w:sz w:val="20"/>
                <w:szCs w:val="20"/>
                <w:lang w:eastAsia="en-US"/>
              </w:rPr>
              <w:t>Hydroxyproline</w:t>
            </w:r>
            <w:proofErr w:type="spellEnd"/>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46 µmol/L</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6-50</w:t>
            </w:r>
          </w:p>
        </w:tc>
      </w:tr>
      <w:tr w:rsidR="005932C8" w:rsidRPr="000D7383" w:rsidTr="00F64215">
        <w:trPr>
          <w:trHeight w:val="232"/>
        </w:trPr>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proofErr w:type="spellStart"/>
            <w:r w:rsidRPr="00F64215">
              <w:rPr>
                <w:rFonts w:ascii="Times New Roman" w:hAnsi="Times New Roman" w:cs="Times New Roman"/>
                <w:sz w:val="20"/>
                <w:szCs w:val="20"/>
                <w:lang w:eastAsia="en-US"/>
              </w:rPr>
              <w:t>Threonine</w:t>
            </w:r>
            <w:proofErr w:type="spellEnd"/>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100 µmol/L</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60-220</w:t>
            </w:r>
          </w:p>
        </w:tc>
      </w:tr>
      <w:tr w:rsidR="005932C8" w:rsidRPr="000D7383" w:rsidTr="00F64215">
        <w:trPr>
          <w:trHeight w:val="225"/>
        </w:trPr>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Serine</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color w:val="FF0000"/>
                <w:sz w:val="20"/>
                <w:szCs w:val="20"/>
                <w:lang w:eastAsia="en-US"/>
              </w:rPr>
            </w:pPr>
            <w:r w:rsidRPr="00F64215">
              <w:rPr>
                <w:rFonts w:ascii="Times New Roman" w:hAnsi="Times New Roman" w:cs="Times New Roman"/>
                <w:color w:val="FF0000"/>
                <w:sz w:val="20"/>
                <w:szCs w:val="20"/>
                <w:lang w:eastAsia="en-US"/>
              </w:rPr>
              <w:t>56 µmol/L (L)</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60-200</w:t>
            </w:r>
          </w:p>
        </w:tc>
      </w:tr>
      <w:tr w:rsidR="005932C8" w:rsidRPr="000D7383" w:rsidTr="00F64215">
        <w:trPr>
          <w:trHeight w:val="225"/>
        </w:trPr>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proofErr w:type="spellStart"/>
            <w:r w:rsidRPr="00F64215">
              <w:rPr>
                <w:rFonts w:ascii="Times New Roman" w:hAnsi="Times New Roman" w:cs="Times New Roman"/>
                <w:sz w:val="20"/>
                <w:szCs w:val="20"/>
                <w:lang w:eastAsia="en-US"/>
              </w:rPr>
              <w:t>Allo-isoleucine</w:t>
            </w:r>
            <w:proofErr w:type="spellEnd"/>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0 µmol/L</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0</w:t>
            </w:r>
          </w:p>
        </w:tc>
      </w:tr>
      <w:tr w:rsidR="005932C8" w:rsidRPr="000D7383" w:rsidTr="00F64215">
        <w:trPr>
          <w:trHeight w:val="232"/>
        </w:trPr>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proofErr w:type="spellStart"/>
            <w:r w:rsidRPr="00F64215">
              <w:rPr>
                <w:rFonts w:ascii="Times New Roman" w:hAnsi="Times New Roman" w:cs="Times New Roman"/>
                <w:sz w:val="20"/>
                <w:szCs w:val="20"/>
                <w:lang w:eastAsia="en-US"/>
              </w:rPr>
              <w:t>Homocystine</w:t>
            </w:r>
            <w:proofErr w:type="spellEnd"/>
            <w:r w:rsidRPr="00F64215">
              <w:rPr>
                <w:rFonts w:ascii="Times New Roman" w:hAnsi="Times New Roman" w:cs="Times New Roman"/>
                <w:sz w:val="20"/>
                <w:szCs w:val="20"/>
                <w:lang w:eastAsia="en-US"/>
              </w:rPr>
              <w:t xml:space="preserve"> QBAA</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0 µmol/L</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0</w:t>
            </w:r>
          </w:p>
        </w:tc>
      </w:tr>
      <w:tr w:rsidR="005932C8" w:rsidRPr="000D7383" w:rsidTr="00F64215">
        <w:trPr>
          <w:trHeight w:val="225"/>
        </w:trPr>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proofErr w:type="spellStart"/>
            <w:r w:rsidRPr="00F64215">
              <w:rPr>
                <w:rFonts w:ascii="Times New Roman" w:hAnsi="Times New Roman" w:cs="Times New Roman"/>
                <w:sz w:val="20"/>
                <w:szCs w:val="20"/>
                <w:lang w:eastAsia="en-US"/>
              </w:rPr>
              <w:t>Glutamic</w:t>
            </w:r>
            <w:proofErr w:type="spellEnd"/>
            <w:r w:rsidRPr="00F64215">
              <w:rPr>
                <w:rFonts w:ascii="Times New Roman" w:hAnsi="Times New Roman" w:cs="Times New Roman"/>
                <w:sz w:val="20"/>
                <w:szCs w:val="20"/>
                <w:lang w:eastAsia="en-US"/>
              </w:rPr>
              <w:t xml:space="preserve"> Acid</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46 µmol/L</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10-120</w:t>
            </w:r>
          </w:p>
        </w:tc>
      </w:tr>
      <w:tr w:rsidR="005932C8" w:rsidRPr="000D7383" w:rsidTr="00F64215">
        <w:trPr>
          <w:trHeight w:val="225"/>
        </w:trPr>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Glutamate</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color w:val="FF0000"/>
                <w:sz w:val="20"/>
                <w:szCs w:val="20"/>
                <w:lang w:eastAsia="en-US"/>
              </w:rPr>
            </w:pPr>
            <w:r w:rsidRPr="00F64215">
              <w:rPr>
                <w:rFonts w:ascii="Times New Roman" w:hAnsi="Times New Roman" w:cs="Times New Roman"/>
                <w:color w:val="FF0000"/>
                <w:sz w:val="20"/>
                <w:szCs w:val="20"/>
                <w:lang w:eastAsia="en-US"/>
              </w:rPr>
              <w:t>1054 µmol/L (H)</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410-700</w:t>
            </w:r>
          </w:p>
        </w:tc>
      </w:tr>
      <w:tr w:rsidR="005932C8" w:rsidRPr="000D7383" w:rsidTr="00F64215">
        <w:trPr>
          <w:trHeight w:val="232"/>
        </w:trPr>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proofErr w:type="spellStart"/>
            <w:r w:rsidRPr="00F64215">
              <w:rPr>
                <w:rFonts w:ascii="Times New Roman" w:hAnsi="Times New Roman" w:cs="Times New Roman"/>
                <w:sz w:val="20"/>
                <w:szCs w:val="20"/>
                <w:lang w:eastAsia="en-US"/>
              </w:rPr>
              <w:t>Proline</w:t>
            </w:r>
            <w:proofErr w:type="spellEnd"/>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color w:val="FF0000"/>
                <w:sz w:val="20"/>
                <w:szCs w:val="20"/>
                <w:lang w:eastAsia="en-US"/>
              </w:rPr>
            </w:pPr>
            <w:r w:rsidRPr="00F64215">
              <w:rPr>
                <w:rFonts w:ascii="Times New Roman" w:hAnsi="Times New Roman" w:cs="Times New Roman"/>
                <w:color w:val="FF0000"/>
                <w:sz w:val="20"/>
                <w:szCs w:val="20"/>
                <w:lang w:eastAsia="en-US"/>
              </w:rPr>
              <w:t>521 µmol/L (H)</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110-500</w:t>
            </w:r>
          </w:p>
        </w:tc>
      </w:tr>
      <w:tr w:rsidR="005932C8" w:rsidRPr="000D7383" w:rsidTr="00F64215">
        <w:trPr>
          <w:trHeight w:val="225"/>
        </w:trPr>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proofErr w:type="spellStart"/>
            <w:r w:rsidRPr="00F64215">
              <w:rPr>
                <w:rFonts w:ascii="Times New Roman" w:hAnsi="Times New Roman" w:cs="Times New Roman"/>
                <w:sz w:val="20"/>
                <w:szCs w:val="20"/>
                <w:lang w:eastAsia="en-US"/>
              </w:rPr>
              <w:t>Glycine</w:t>
            </w:r>
            <w:proofErr w:type="spellEnd"/>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224 µmol/L</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140-490</w:t>
            </w:r>
          </w:p>
        </w:tc>
      </w:tr>
      <w:tr w:rsidR="005932C8" w:rsidRPr="000D7383" w:rsidTr="00F64215">
        <w:trPr>
          <w:trHeight w:val="225"/>
        </w:trPr>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proofErr w:type="spellStart"/>
            <w:r w:rsidRPr="00F64215">
              <w:rPr>
                <w:rFonts w:ascii="Times New Roman" w:hAnsi="Times New Roman" w:cs="Times New Roman"/>
                <w:sz w:val="20"/>
                <w:szCs w:val="20"/>
                <w:lang w:eastAsia="en-US"/>
              </w:rPr>
              <w:t>Alanine</w:t>
            </w:r>
            <w:proofErr w:type="spellEnd"/>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283 µmol/L</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240-600</w:t>
            </w:r>
          </w:p>
        </w:tc>
      </w:tr>
      <w:tr w:rsidR="005932C8" w:rsidRPr="000D7383" w:rsidTr="00F64215">
        <w:trPr>
          <w:trHeight w:val="232"/>
        </w:trPr>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proofErr w:type="spellStart"/>
            <w:r w:rsidRPr="00F64215">
              <w:rPr>
                <w:rFonts w:ascii="Times New Roman" w:hAnsi="Times New Roman" w:cs="Times New Roman"/>
                <w:sz w:val="20"/>
                <w:szCs w:val="20"/>
                <w:lang w:eastAsia="en-US"/>
              </w:rPr>
              <w:t>Citrulline</w:t>
            </w:r>
            <w:proofErr w:type="spellEnd"/>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20 µmol/L</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10-60</w:t>
            </w:r>
          </w:p>
        </w:tc>
      </w:tr>
      <w:tr w:rsidR="005932C8" w:rsidRPr="000D7383" w:rsidTr="00F64215">
        <w:trPr>
          <w:trHeight w:val="225"/>
        </w:trPr>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proofErr w:type="spellStart"/>
            <w:r w:rsidRPr="00F64215">
              <w:rPr>
                <w:rFonts w:ascii="Times New Roman" w:hAnsi="Times New Roman" w:cs="Times New Roman"/>
                <w:sz w:val="20"/>
                <w:szCs w:val="20"/>
                <w:lang w:eastAsia="en-US"/>
              </w:rPr>
              <w:t>Valine</w:t>
            </w:r>
            <w:proofErr w:type="spellEnd"/>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color w:val="FF0000"/>
                <w:sz w:val="20"/>
                <w:szCs w:val="20"/>
                <w:lang w:eastAsia="en-US"/>
              </w:rPr>
            </w:pPr>
            <w:r w:rsidRPr="00F64215">
              <w:rPr>
                <w:rFonts w:ascii="Times New Roman" w:hAnsi="Times New Roman" w:cs="Times New Roman"/>
                <w:color w:val="FF0000"/>
                <w:sz w:val="20"/>
                <w:szCs w:val="20"/>
                <w:lang w:eastAsia="en-US"/>
              </w:rPr>
              <w:t>88 µmol/L (L)</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140-350</w:t>
            </w:r>
          </w:p>
        </w:tc>
      </w:tr>
      <w:tr w:rsidR="005932C8" w:rsidRPr="000D7383" w:rsidTr="00F64215">
        <w:trPr>
          <w:trHeight w:val="225"/>
        </w:trPr>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proofErr w:type="spellStart"/>
            <w:r w:rsidRPr="00F64215">
              <w:rPr>
                <w:rFonts w:ascii="Times New Roman" w:hAnsi="Times New Roman" w:cs="Times New Roman"/>
                <w:sz w:val="20"/>
                <w:szCs w:val="20"/>
                <w:lang w:eastAsia="en-US"/>
              </w:rPr>
              <w:t>Cystine</w:t>
            </w:r>
            <w:proofErr w:type="spellEnd"/>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12 µmol/L</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7-70</w:t>
            </w:r>
          </w:p>
        </w:tc>
      </w:tr>
      <w:tr w:rsidR="005932C8" w:rsidRPr="000D7383" w:rsidTr="00F64215">
        <w:trPr>
          <w:trHeight w:val="232"/>
        </w:trPr>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proofErr w:type="spellStart"/>
            <w:r w:rsidRPr="00F64215">
              <w:rPr>
                <w:rFonts w:ascii="Times New Roman" w:hAnsi="Times New Roman" w:cs="Times New Roman"/>
                <w:sz w:val="20"/>
                <w:szCs w:val="20"/>
                <w:lang w:eastAsia="en-US"/>
              </w:rPr>
              <w:t>Methionine</w:t>
            </w:r>
            <w:proofErr w:type="spellEnd"/>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color w:val="FF0000"/>
                <w:sz w:val="20"/>
                <w:szCs w:val="20"/>
                <w:lang w:eastAsia="en-US"/>
              </w:rPr>
            </w:pPr>
            <w:r w:rsidRPr="00F64215">
              <w:rPr>
                <w:rFonts w:ascii="Times New Roman" w:hAnsi="Times New Roman" w:cs="Times New Roman"/>
                <w:color w:val="FF0000"/>
                <w:sz w:val="20"/>
                <w:szCs w:val="20"/>
                <w:lang w:eastAsia="en-US"/>
              </w:rPr>
              <w:t>10 µmol/L (L)</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17-53</w:t>
            </w:r>
          </w:p>
        </w:tc>
      </w:tr>
      <w:tr w:rsidR="005932C8" w:rsidRPr="000D7383" w:rsidTr="00F64215">
        <w:trPr>
          <w:trHeight w:val="225"/>
        </w:trPr>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proofErr w:type="spellStart"/>
            <w:r w:rsidRPr="00F64215">
              <w:rPr>
                <w:rFonts w:ascii="Times New Roman" w:hAnsi="Times New Roman" w:cs="Times New Roman"/>
                <w:sz w:val="20"/>
                <w:szCs w:val="20"/>
                <w:lang w:eastAsia="en-US"/>
              </w:rPr>
              <w:t>Isoleucine</w:t>
            </w:r>
            <w:proofErr w:type="spellEnd"/>
            <w:r w:rsidRPr="00F64215">
              <w:rPr>
                <w:rFonts w:ascii="Times New Roman" w:hAnsi="Times New Roman" w:cs="Times New Roman"/>
                <w:sz w:val="20"/>
                <w:szCs w:val="20"/>
                <w:lang w:eastAsia="en-US"/>
              </w:rPr>
              <w:t xml:space="preserve"> QBAA</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color w:val="FF0000"/>
                <w:sz w:val="20"/>
                <w:szCs w:val="20"/>
                <w:lang w:eastAsia="en-US"/>
              </w:rPr>
            </w:pPr>
            <w:r w:rsidRPr="00F64215">
              <w:rPr>
                <w:rFonts w:ascii="Times New Roman" w:hAnsi="Times New Roman" w:cs="Times New Roman"/>
                <w:color w:val="FF0000"/>
                <w:sz w:val="20"/>
                <w:szCs w:val="20"/>
                <w:lang w:eastAsia="en-US"/>
              </w:rPr>
              <w:t>13 µmol/L (L)</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30-130</w:t>
            </w:r>
          </w:p>
        </w:tc>
      </w:tr>
      <w:tr w:rsidR="005932C8" w:rsidRPr="000D7383" w:rsidTr="00F64215">
        <w:trPr>
          <w:trHeight w:val="225"/>
        </w:trPr>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proofErr w:type="spellStart"/>
            <w:r w:rsidRPr="00F64215">
              <w:rPr>
                <w:rFonts w:ascii="Times New Roman" w:hAnsi="Times New Roman" w:cs="Times New Roman"/>
                <w:sz w:val="20"/>
                <w:szCs w:val="20"/>
                <w:lang w:eastAsia="en-US"/>
              </w:rPr>
              <w:t>Leucine</w:t>
            </w:r>
            <w:proofErr w:type="spellEnd"/>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color w:val="FF0000"/>
                <w:sz w:val="20"/>
                <w:szCs w:val="20"/>
                <w:lang w:eastAsia="en-US"/>
              </w:rPr>
            </w:pPr>
            <w:r w:rsidRPr="00F64215">
              <w:rPr>
                <w:rFonts w:ascii="Times New Roman" w:hAnsi="Times New Roman" w:cs="Times New Roman"/>
                <w:color w:val="FF0000"/>
                <w:sz w:val="20"/>
                <w:szCs w:val="20"/>
                <w:lang w:eastAsia="en-US"/>
              </w:rPr>
              <w:t>35 µmol/L (L)</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60-230</w:t>
            </w:r>
          </w:p>
        </w:tc>
      </w:tr>
      <w:tr w:rsidR="005932C8" w:rsidRPr="000D7383" w:rsidTr="00F64215">
        <w:trPr>
          <w:trHeight w:val="232"/>
        </w:trPr>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Tyrosine</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color w:val="FF0000"/>
                <w:sz w:val="20"/>
                <w:szCs w:val="20"/>
                <w:lang w:eastAsia="en-US"/>
              </w:rPr>
            </w:pPr>
            <w:r w:rsidRPr="00F64215">
              <w:rPr>
                <w:rFonts w:ascii="Times New Roman" w:hAnsi="Times New Roman" w:cs="Times New Roman"/>
                <w:color w:val="FF0000"/>
                <w:sz w:val="20"/>
                <w:szCs w:val="20"/>
                <w:lang w:eastAsia="en-US"/>
              </w:rPr>
              <w:t>17 µmol/L (L)</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30-120</w:t>
            </w:r>
          </w:p>
        </w:tc>
      </w:tr>
      <w:tr w:rsidR="005932C8" w:rsidRPr="000D7383" w:rsidTr="00F64215">
        <w:trPr>
          <w:trHeight w:val="225"/>
        </w:trPr>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Phenylalanine</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color w:val="FF0000"/>
                <w:sz w:val="20"/>
                <w:szCs w:val="20"/>
                <w:lang w:eastAsia="en-US"/>
              </w:rPr>
            </w:pPr>
            <w:r w:rsidRPr="00F64215">
              <w:rPr>
                <w:rFonts w:ascii="Times New Roman" w:hAnsi="Times New Roman" w:cs="Times New Roman"/>
                <w:color w:val="FF0000"/>
                <w:sz w:val="20"/>
                <w:szCs w:val="20"/>
                <w:lang w:eastAsia="en-US"/>
              </w:rPr>
              <w:t>23 µmol/L (L)</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30-80</w:t>
            </w:r>
          </w:p>
        </w:tc>
      </w:tr>
      <w:tr w:rsidR="005932C8" w:rsidRPr="000D7383" w:rsidTr="00F64215">
        <w:trPr>
          <w:trHeight w:val="225"/>
        </w:trPr>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proofErr w:type="spellStart"/>
            <w:r w:rsidRPr="00F64215">
              <w:rPr>
                <w:rFonts w:ascii="Times New Roman" w:hAnsi="Times New Roman" w:cs="Times New Roman"/>
                <w:sz w:val="20"/>
                <w:szCs w:val="20"/>
                <w:lang w:eastAsia="en-US"/>
              </w:rPr>
              <w:t>Ornithine</w:t>
            </w:r>
            <w:proofErr w:type="spellEnd"/>
            <w:r w:rsidRPr="00F64215">
              <w:rPr>
                <w:rFonts w:ascii="Times New Roman" w:hAnsi="Times New Roman" w:cs="Times New Roman"/>
                <w:sz w:val="20"/>
                <w:szCs w:val="20"/>
                <w:lang w:eastAsia="en-US"/>
              </w:rPr>
              <w:t xml:space="preserve"> QBAA</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82 µmol/L</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20-135</w:t>
            </w:r>
          </w:p>
        </w:tc>
      </w:tr>
      <w:tr w:rsidR="005932C8" w:rsidRPr="000D7383" w:rsidTr="00F64215">
        <w:trPr>
          <w:trHeight w:val="232"/>
        </w:trPr>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Lysine</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234 µmol/L</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80-250</w:t>
            </w:r>
          </w:p>
        </w:tc>
      </w:tr>
      <w:tr w:rsidR="005932C8" w:rsidRPr="000D7383" w:rsidTr="00F64215">
        <w:trPr>
          <w:trHeight w:val="232"/>
        </w:trPr>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proofErr w:type="spellStart"/>
            <w:r w:rsidRPr="00F64215">
              <w:rPr>
                <w:rFonts w:ascii="Times New Roman" w:hAnsi="Times New Roman" w:cs="Times New Roman"/>
                <w:sz w:val="20"/>
                <w:szCs w:val="20"/>
                <w:lang w:eastAsia="en-US"/>
              </w:rPr>
              <w:t>Histidine</w:t>
            </w:r>
            <w:proofErr w:type="spellEnd"/>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96 µmol/L</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50-130</w:t>
            </w:r>
          </w:p>
        </w:tc>
      </w:tr>
      <w:tr w:rsidR="005932C8" w:rsidRPr="000D7383" w:rsidTr="00F64215">
        <w:trPr>
          <w:trHeight w:val="232"/>
        </w:trPr>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proofErr w:type="spellStart"/>
            <w:r w:rsidRPr="00F64215">
              <w:rPr>
                <w:rFonts w:ascii="Times New Roman" w:hAnsi="Times New Roman" w:cs="Times New Roman"/>
                <w:sz w:val="20"/>
                <w:szCs w:val="20"/>
                <w:lang w:eastAsia="en-US"/>
              </w:rPr>
              <w:t>Arginine</w:t>
            </w:r>
            <w:proofErr w:type="spellEnd"/>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color w:val="FF0000"/>
                <w:sz w:val="20"/>
                <w:szCs w:val="20"/>
                <w:lang w:eastAsia="en-US"/>
              </w:rPr>
            </w:pPr>
            <w:r w:rsidRPr="00F64215">
              <w:rPr>
                <w:rFonts w:ascii="Times New Roman" w:hAnsi="Times New Roman" w:cs="Times New Roman"/>
                <w:color w:val="FF0000"/>
                <w:sz w:val="20"/>
                <w:szCs w:val="20"/>
                <w:lang w:eastAsia="en-US"/>
              </w:rPr>
              <w:t>27 µmol/L (L)</w:t>
            </w:r>
          </w:p>
        </w:tc>
        <w:tc>
          <w:tcPr>
            <w:tcW w:w="2392" w:type="dxa"/>
          </w:tcPr>
          <w:p w:rsidR="005932C8" w:rsidRPr="00F64215" w:rsidRDefault="005932C8" w:rsidP="00F64215">
            <w:pPr>
              <w:suppressAutoHyphens w:val="0"/>
              <w:spacing w:before="100" w:beforeAutospacing="1" w:after="100" w:afterAutospacing="1"/>
              <w:rPr>
                <w:rFonts w:ascii="Times New Roman" w:hAnsi="Times New Roman" w:cs="Times New Roman"/>
                <w:sz w:val="20"/>
                <w:szCs w:val="20"/>
                <w:lang w:eastAsia="en-US"/>
              </w:rPr>
            </w:pPr>
            <w:r w:rsidRPr="00F64215">
              <w:rPr>
                <w:rFonts w:ascii="Times New Roman" w:hAnsi="Times New Roman" w:cs="Times New Roman"/>
                <w:sz w:val="20"/>
                <w:szCs w:val="20"/>
                <w:lang w:eastAsia="en-US"/>
              </w:rPr>
              <w:t>40-160</w:t>
            </w:r>
          </w:p>
        </w:tc>
      </w:tr>
    </w:tbl>
    <w:p w:rsidR="005932C8" w:rsidRDefault="005932C8" w:rsidP="00F75B27">
      <w:pPr>
        <w:pStyle w:val="PlainText"/>
        <w:rPr>
          <w:rFonts w:ascii="Cambria" w:hAnsi="Cambria" w:cs="ArialMT"/>
          <w:sz w:val="20"/>
          <w:szCs w:val="20"/>
        </w:rPr>
      </w:pPr>
    </w:p>
    <w:p w:rsidR="005932C8" w:rsidRPr="005B6693" w:rsidRDefault="005932C8" w:rsidP="008F35D1">
      <w:pPr>
        <w:pStyle w:val="PlainText"/>
        <w:rPr>
          <w:rFonts w:ascii="Cambria" w:hAnsi="Cambria" w:cs="Arial"/>
          <w:sz w:val="20"/>
          <w:szCs w:val="20"/>
        </w:rPr>
      </w:pPr>
      <w:r w:rsidRPr="005B6693">
        <w:rPr>
          <w:rFonts w:ascii="Cambria" w:hAnsi="Cambria" w:cs="Arial"/>
          <w:sz w:val="20"/>
          <w:szCs w:val="20"/>
        </w:rPr>
        <w:t xml:space="preserve">Follow-up MRI demonstrated decreased intensity in </w:t>
      </w:r>
      <w:r>
        <w:rPr>
          <w:rFonts w:ascii="Cambria" w:hAnsi="Cambria" w:cs="Arial"/>
          <w:sz w:val="20"/>
          <w:szCs w:val="20"/>
        </w:rPr>
        <w:t xml:space="preserve">previously </w:t>
      </w:r>
      <w:r w:rsidRPr="005B6693">
        <w:rPr>
          <w:rFonts w:ascii="Cambria" w:hAnsi="Cambria" w:cs="Arial"/>
          <w:sz w:val="20"/>
          <w:szCs w:val="20"/>
        </w:rPr>
        <w:t>noted areas and no new lesions</w:t>
      </w:r>
      <w:r w:rsidRPr="00400034">
        <w:rPr>
          <w:rFonts w:ascii="Cambria" w:hAnsi="Cambria" w:cs="Arial"/>
          <w:sz w:val="20"/>
          <w:szCs w:val="20"/>
        </w:rPr>
        <w:t xml:space="preserve">, leading to the hypothesis that MRI findings were the result of </w:t>
      </w:r>
      <w:proofErr w:type="spellStart"/>
      <w:r w:rsidRPr="00400034">
        <w:rPr>
          <w:rFonts w:ascii="Cambria" w:hAnsi="Cambria" w:cs="Arial"/>
          <w:sz w:val="20"/>
          <w:szCs w:val="20"/>
        </w:rPr>
        <w:t>hyperammonemia</w:t>
      </w:r>
      <w:proofErr w:type="spellEnd"/>
      <w:r w:rsidRPr="00400034">
        <w:rPr>
          <w:rFonts w:ascii="Cambria" w:hAnsi="Cambria" w:cs="Arial"/>
          <w:sz w:val="20"/>
          <w:szCs w:val="20"/>
        </w:rPr>
        <w:t xml:space="preserve"> rather than</w:t>
      </w:r>
      <w:r w:rsidR="006374BB">
        <w:rPr>
          <w:rFonts w:ascii="Cambria" w:hAnsi="Cambria" w:cs="Arial"/>
          <w:sz w:val="20"/>
          <w:szCs w:val="20"/>
        </w:rPr>
        <w:t xml:space="preserve"> due to</w:t>
      </w:r>
      <w:r w:rsidRPr="00400034">
        <w:rPr>
          <w:rFonts w:ascii="Cambria" w:hAnsi="Cambria" w:cs="Arial"/>
          <w:sz w:val="20"/>
          <w:szCs w:val="20"/>
        </w:rPr>
        <w:t xml:space="preserve"> global</w:t>
      </w:r>
      <w:r>
        <w:rPr>
          <w:rFonts w:ascii="Cambria" w:hAnsi="Cambria" w:cs="Arial"/>
          <w:sz w:val="20"/>
          <w:szCs w:val="20"/>
        </w:rPr>
        <w:t xml:space="preserve"> hypoxic-ischemic injury (Figure 3a). </w:t>
      </w:r>
      <w:r w:rsidRPr="005B6693">
        <w:rPr>
          <w:rFonts w:ascii="Cambria" w:hAnsi="Cambria" w:cs="Arial"/>
          <w:sz w:val="20"/>
          <w:szCs w:val="20"/>
        </w:rPr>
        <w:t xml:space="preserve">Related to this finding, MR spectroscopy demonstrated peaks most strongly for glutamine rather than lactate, supporting glutamate toxicity as a result of a urea cycle defect as opposed to hypoxic-ischemic injury </w:t>
      </w:r>
      <w:r>
        <w:rPr>
          <w:rFonts w:ascii="Cambria" w:hAnsi="Cambria" w:cs="Arial"/>
          <w:sz w:val="20"/>
          <w:szCs w:val="20"/>
        </w:rPr>
        <w:t xml:space="preserve">(Figure 3b). </w:t>
      </w:r>
      <w:r w:rsidRPr="005B6693">
        <w:rPr>
          <w:rFonts w:ascii="Cambria" w:hAnsi="Cambria" w:cs="Arial"/>
          <w:sz w:val="20"/>
          <w:szCs w:val="20"/>
        </w:rPr>
        <w:t>Genetic testing failed to identify mutations for CPSI or OTC deficiency, which are the most common</w:t>
      </w:r>
      <w:r>
        <w:rPr>
          <w:rFonts w:ascii="Cambria" w:hAnsi="Cambria" w:cs="Arial"/>
          <w:sz w:val="20"/>
          <w:szCs w:val="20"/>
        </w:rPr>
        <w:t>ly occurring genetic deficiencies</w:t>
      </w:r>
      <w:r w:rsidRPr="005B6693">
        <w:rPr>
          <w:rFonts w:ascii="Cambria" w:hAnsi="Cambria" w:cs="Arial"/>
          <w:sz w:val="20"/>
          <w:szCs w:val="20"/>
        </w:rPr>
        <w:t xml:space="preserve">. However, with the inability to detect variant polymorphisms as well as large deletions and duplications, the possibility of a urea cycle defect was still the likely diagnosis. Due to the patient's poor neurological prognosis, the patient's family transitioned the patient to comfort measures only and she was terminally </w:t>
      </w:r>
      <w:proofErr w:type="spellStart"/>
      <w:r w:rsidRPr="005B6693">
        <w:rPr>
          <w:rFonts w:ascii="Cambria" w:hAnsi="Cambria" w:cs="Arial"/>
          <w:sz w:val="20"/>
          <w:szCs w:val="20"/>
        </w:rPr>
        <w:t>extubated</w:t>
      </w:r>
      <w:proofErr w:type="spellEnd"/>
      <w:r w:rsidRPr="005B6693">
        <w:rPr>
          <w:rFonts w:ascii="Cambria" w:hAnsi="Cambria" w:cs="Arial"/>
          <w:sz w:val="20"/>
          <w:szCs w:val="20"/>
        </w:rPr>
        <w:t xml:space="preserve">. </w:t>
      </w:r>
    </w:p>
    <w:p w:rsidR="005932C8" w:rsidRPr="005B6693" w:rsidRDefault="005932C8" w:rsidP="008F35D1">
      <w:pPr>
        <w:pStyle w:val="PlainText"/>
        <w:rPr>
          <w:rFonts w:ascii="Cambria" w:hAnsi="Cambria" w:cs="Arial"/>
          <w:sz w:val="20"/>
          <w:szCs w:val="20"/>
        </w:rPr>
      </w:pPr>
    </w:p>
    <w:p w:rsidR="005932C8" w:rsidRDefault="005932C8" w:rsidP="005B6693">
      <w:pPr>
        <w:pStyle w:val="PlainText"/>
        <w:rPr>
          <w:rFonts w:ascii="Cambria" w:hAnsi="Cambria" w:cs="Arial"/>
          <w:sz w:val="20"/>
          <w:szCs w:val="20"/>
          <w:u w:val="single"/>
        </w:rPr>
      </w:pPr>
      <w:r w:rsidRPr="00315313">
        <w:rPr>
          <w:rFonts w:ascii="Cambria" w:hAnsi="Cambria" w:cs="Arial"/>
          <w:sz w:val="20"/>
          <w:szCs w:val="20"/>
          <w:u w:val="single"/>
        </w:rPr>
        <w:t xml:space="preserve">Discussion  </w:t>
      </w:r>
    </w:p>
    <w:p w:rsidR="005932C8" w:rsidRDefault="005932C8" w:rsidP="005B6693">
      <w:pPr>
        <w:pStyle w:val="PlainText"/>
        <w:rPr>
          <w:rFonts w:ascii="Cambria" w:hAnsi="Cambria" w:cs="Arial"/>
          <w:sz w:val="20"/>
          <w:szCs w:val="20"/>
          <w:u w:val="single"/>
        </w:rPr>
      </w:pPr>
    </w:p>
    <w:p w:rsidR="005932C8" w:rsidRPr="009328C4" w:rsidRDefault="005932C8" w:rsidP="00A41E9D">
      <w:pPr>
        <w:suppressAutoHyphens w:val="0"/>
        <w:autoSpaceDE w:val="0"/>
        <w:autoSpaceDN w:val="0"/>
        <w:adjustRightInd w:val="0"/>
        <w:rPr>
          <w:rFonts w:ascii="Cambria" w:hAnsi="Cambria" w:cs="Arial"/>
          <w:sz w:val="20"/>
          <w:szCs w:val="20"/>
        </w:rPr>
      </w:pPr>
      <w:r>
        <w:rPr>
          <w:rFonts w:ascii="Cambria" w:hAnsi="Cambria" w:cs="Arial"/>
          <w:sz w:val="20"/>
          <w:szCs w:val="20"/>
        </w:rPr>
        <w:t xml:space="preserve">As described by our case, the presence of </w:t>
      </w:r>
      <w:proofErr w:type="spellStart"/>
      <w:r>
        <w:rPr>
          <w:rFonts w:ascii="Cambria" w:hAnsi="Cambria" w:cs="Arial"/>
          <w:sz w:val="20"/>
          <w:szCs w:val="20"/>
        </w:rPr>
        <w:t>hyperammonemia</w:t>
      </w:r>
      <w:proofErr w:type="spellEnd"/>
      <w:r>
        <w:rPr>
          <w:rFonts w:ascii="Cambria" w:hAnsi="Cambria" w:cs="Arial"/>
          <w:sz w:val="20"/>
          <w:szCs w:val="20"/>
        </w:rPr>
        <w:t xml:space="preserve"> in the setting of normal liver enzymes studies raises the possibility of an inborn error of metabolism</w:t>
      </w:r>
      <w:r w:rsidRPr="005B6693">
        <w:rPr>
          <w:rFonts w:ascii="Cambria" w:hAnsi="Cambria" w:cs="ArialMT"/>
          <w:sz w:val="20"/>
          <w:szCs w:val="20"/>
          <w:lang w:eastAsia="en-US"/>
        </w:rPr>
        <w:t xml:space="preserve">. </w:t>
      </w:r>
      <w:r>
        <w:rPr>
          <w:rFonts w:ascii="Cambria" w:hAnsi="Cambria" w:cs="Arial"/>
          <w:sz w:val="20"/>
          <w:szCs w:val="20"/>
        </w:rPr>
        <w:t xml:space="preserve"> Typically, with the urea cycle, ammonia is incorporated into an amino acid at each enzymatic step; accordingly, one ammonium ion is removed at each step until urea is formed. Deficiency in any five of the enzymes in the cycle, results in the accumulation of ammonia which could be potentially fatal if untreated</w:t>
      </w:r>
      <w:r w:rsidR="00C20CB2">
        <w:rPr>
          <w:rFonts w:ascii="Cambria" w:hAnsi="Cambria" w:cs="Arial"/>
          <w:sz w:val="20"/>
          <w:szCs w:val="20"/>
        </w:rPr>
        <w:t xml:space="preserve"> (8)</w:t>
      </w:r>
      <w:r>
        <w:rPr>
          <w:rFonts w:ascii="Cambria" w:hAnsi="Cambria" w:cs="Arial"/>
          <w:sz w:val="20"/>
          <w:szCs w:val="20"/>
        </w:rPr>
        <w:t xml:space="preserve">. </w:t>
      </w:r>
      <w:r>
        <w:rPr>
          <w:rFonts w:ascii="Cambria" w:hAnsi="Cambria" w:cs="ArialMT"/>
          <w:sz w:val="20"/>
          <w:szCs w:val="20"/>
          <w:lang w:eastAsia="en-US"/>
        </w:rPr>
        <w:t xml:space="preserve">Although usually seen in neonates, later cases of childhood and adulthood have been described (11). </w:t>
      </w:r>
      <w:r>
        <w:rPr>
          <w:rFonts w:ascii="Cambria" w:hAnsi="Cambria" w:cs="ArialMT"/>
          <w:sz w:val="20"/>
          <w:szCs w:val="20"/>
        </w:rPr>
        <w:t xml:space="preserve">The presentation is atypical, </w:t>
      </w:r>
      <w:r w:rsidRPr="005B6693">
        <w:rPr>
          <w:rFonts w:ascii="Cambria" w:hAnsi="Cambria" w:cs="Arial"/>
          <w:sz w:val="20"/>
          <w:szCs w:val="20"/>
          <w:lang w:eastAsia="en-US"/>
        </w:rPr>
        <w:t xml:space="preserve">with chronic vomiting, </w:t>
      </w:r>
      <w:r>
        <w:rPr>
          <w:rFonts w:ascii="Cambria" w:hAnsi="Cambria" w:cs="Arial"/>
          <w:sz w:val="20"/>
          <w:szCs w:val="20"/>
          <w:lang w:eastAsia="en-US"/>
        </w:rPr>
        <w:t xml:space="preserve">developmental delay, </w:t>
      </w:r>
      <w:r w:rsidRPr="005B6693">
        <w:rPr>
          <w:rFonts w:ascii="Cambria" w:hAnsi="Cambria" w:cs="Arial"/>
          <w:sz w:val="20"/>
          <w:szCs w:val="20"/>
          <w:lang w:eastAsia="en-US"/>
        </w:rPr>
        <w:t>seizure disorder, sleep disorders, or psychiatric illnes</w:t>
      </w:r>
      <w:r>
        <w:rPr>
          <w:rFonts w:ascii="Cambria" w:hAnsi="Cambria" w:cs="Arial"/>
          <w:sz w:val="20"/>
          <w:szCs w:val="20"/>
        </w:rPr>
        <w:t xml:space="preserve">ses </w:t>
      </w:r>
      <w:r w:rsidRPr="005B6693">
        <w:rPr>
          <w:rFonts w:ascii="Cambria" w:hAnsi="Cambria" w:cs="Arial"/>
          <w:sz w:val="20"/>
          <w:szCs w:val="20"/>
          <w:lang w:eastAsia="en-US"/>
        </w:rPr>
        <w:t xml:space="preserve">following increased protein intake or </w:t>
      </w:r>
      <w:r>
        <w:rPr>
          <w:rFonts w:ascii="Cambria" w:hAnsi="Cambria" w:cs="Arial"/>
          <w:sz w:val="20"/>
          <w:szCs w:val="20"/>
        </w:rPr>
        <w:t xml:space="preserve">during periods of stress such as acute or chronic illness (11). </w:t>
      </w:r>
      <w:r>
        <w:rPr>
          <w:rFonts w:ascii="Cambria" w:hAnsi="Cambria" w:cs="ArialMT"/>
          <w:sz w:val="20"/>
          <w:szCs w:val="20"/>
          <w:lang w:eastAsia="en-US"/>
        </w:rPr>
        <w:t xml:space="preserve">The most common deficiencies are </w:t>
      </w:r>
      <w:proofErr w:type="spellStart"/>
      <w:r>
        <w:rPr>
          <w:rFonts w:ascii="Cambria" w:hAnsi="Cambria" w:cs="ArialMT"/>
          <w:sz w:val="20"/>
          <w:szCs w:val="20"/>
          <w:lang w:eastAsia="en-US"/>
        </w:rPr>
        <w:t>ornithine</w:t>
      </w:r>
      <w:proofErr w:type="spellEnd"/>
      <w:r>
        <w:rPr>
          <w:rFonts w:ascii="Cambria" w:hAnsi="Cambria" w:cs="ArialMT"/>
          <w:sz w:val="20"/>
          <w:szCs w:val="20"/>
          <w:lang w:eastAsia="en-US"/>
        </w:rPr>
        <w:t xml:space="preserve"> </w:t>
      </w:r>
      <w:proofErr w:type="spellStart"/>
      <w:r>
        <w:rPr>
          <w:rFonts w:ascii="Cambria" w:hAnsi="Cambria" w:cs="ArialMT"/>
          <w:sz w:val="20"/>
          <w:szCs w:val="20"/>
          <w:lang w:eastAsia="en-US"/>
        </w:rPr>
        <w:t>transcarbamylase</w:t>
      </w:r>
      <w:proofErr w:type="spellEnd"/>
      <w:r>
        <w:rPr>
          <w:rFonts w:ascii="Cambria" w:hAnsi="Cambria" w:cs="ArialMT"/>
          <w:sz w:val="20"/>
          <w:szCs w:val="20"/>
          <w:lang w:eastAsia="en-US"/>
        </w:rPr>
        <w:t xml:space="preserve"> (OTC) or </w:t>
      </w:r>
      <w:proofErr w:type="spellStart"/>
      <w:r>
        <w:rPr>
          <w:rFonts w:ascii="Cambria" w:hAnsi="Cambria" w:cs="ArialMT"/>
          <w:sz w:val="20"/>
          <w:szCs w:val="20"/>
          <w:lang w:eastAsia="en-US"/>
        </w:rPr>
        <w:t>carbamoyl</w:t>
      </w:r>
      <w:proofErr w:type="spellEnd"/>
      <w:r>
        <w:rPr>
          <w:rFonts w:ascii="Cambria" w:hAnsi="Cambria" w:cs="ArialMT"/>
          <w:sz w:val="20"/>
          <w:szCs w:val="20"/>
          <w:lang w:eastAsia="en-US"/>
        </w:rPr>
        <w:t xml:space="preserve"> phosphate </w:t>
      </w:r>
      <w:proofErr w:type="spellStart"/>
      <w:r>
        <w:rPr>
          <w:rFonts w:ascii="Cambria" w:hAnsi="Cambria" w:cs="ArialMT"/>
          <w:sz w:val="20"/>
          <w:szCs w:val="20"/>
          <w:lang w:eastAsia="en-US"/>
        </w:rPr>
        <w:t>synth</w:t>
      </w:r>
      <w:r w:rsidR="00C46E84">
        <w:rPr>
          <w:rFonts w:ascii="Cambria" w:hAnsi="Cambria" w:cs="ArialMT"/>
          <w:sz w:val="20"/>
          <w:szCs w:val="20"/>
          <w:lang w:eastAsia="en-US"/>
        </w:rPr>
        <w:t>et</w:t>
      </w:r>
      <w:r>
        <w:rPr>
          <w:rFonts w:ascii="Cambria" w:hAnsi="Cambria" w:cs="ArialMT"/>
          <w:sz w:val="20"/>
          <w:szCs w:val="20"/>
          <w:lang w:eastAsia="en-US"/>
        </w:rPr>
        <w:t>ase</w:t>
      </w:r>
      <w:proofErr w:type="spellEnd"/>
      <w:r>
        <w:rPr>
          <w:rFonts w:ascii="Cambria" w:hAnsi="Cambria" w:cs="ArialMT"/>
          <w:sz w:val="20"/>
          <w:szCs w:val="20"/>
          <w:lang w:eastAsia="en-US"/>
        </w:rPr>
        <w:t xml:space="preserve"> (CPS) deficiency, both of which have an enzyme defect early in the urea cycle. </w:t>
      </w:r>
      <w:r>
        <w:rPr>
          <w:rFonts w:ascii="Cambria" w:hAnsi="Cambria" w:cs="ArialMT"/>
          <w:sz w:val="20"/>
          <w:szCs w:val="20"/>
        </w:rPr>
        <w:t xml:space="preserve">The OTC patients will display a low </w:t>
      </w:r>
      <w:proofErr w:type="spellStart"/>
      <w:r>
        <w:rPr>
          <w:rFonts w:ascii="Cambria" w:hAnsi="Cambria" w:cs="ArialMT"/>
          <w:sz w:val="20"/>
          <w:szCs w:val="20"/>
        </w:rPr>
        <w:t>citrulline</w:t>
      </w:r>
      <w:proofErr w:type="spellEnd"/>
      <w:r>
        <w:rPr>
          <w:rFonts w:ascii="Cambria" w:hAnsi="Cambria" w:cs="ArialMT"/>
          <w:sz w:val="20"/>
          <w:szCs w:val="20"/>
        </w:rPr>
        <w:t xml:space="preserve"> and </w:t>
      </w:r>
      <w:proofErr w:type="spellStart"/>
      <w:r>
        <w:rPr>
          <w:rFonts w:ascii="Cambria" w:hAnsi="Cambria" w:cs="ArialMT"/>
          <w:sz w:val="20"/>
          <w:szCs w:val="20"/>
        </w:rPr>
        <w:t>arginine</w:t>
      </w:r>
      <w:proofErr w:type="spellEnd"/>
      <w:r>
        <w:rPr>
          <w:rFonts w:ascii="Cambria" w:hAnsi="Cambria" w:cs="ArialMT"/>
          <w:sz w:val="20"/>
          <w:szCs w:val="20"/>
        </w:rPr>
        <w:t xml:space="preserve"> level in the metabolic panel. The urine studies typical show a high level of </w:t>
      </w:r>
      <w:proofErr w:type="spellStart"/>
      <w:r>
        <w:rPr>
          <w:rFonts w:ascii="Cambria" w:hAnsi="Cambria" w:cs="ArialMT"/>
          <w:sz w:val="20"/>
          <w:szCs w:val="20"/>
        </w:rPr>
        <w:t>orotic</w:t>
      </w:r>
      <w:proofErr w:type="spellEnd"/>
      <w:r>
        <w:rPr>
          <w:rFonts w:ascii="Cambria" w:hAnsi="Cambria" w:cs="ArialMT"/>
          <w:sz w:val="20"/>
          <w:szCs w:val="20"/>
        </w:rPr>
        <w:t xml:space="preserve"> acid, which is a by-product of the cycle and is made from </w:t>
      </w:r>
      <w:proofErr w:type="spellStart"/>
      <w:r>
        <w:rPr>
          <w:rFonts w:ascii="Cambria" w:hAnsi="Cambria" w:cs="ArialMT"/>
          <w:sz w:val="20"/>
          <w:szCs w:val="20"/>
        </w:rPr>
        <w:t>carbamoyl</w:t>
      </w:r>
      <w:proofErr w:type="spellEnd"/>
      <w:r>
        <w:rPr>
          <w:rFonts w:ascii="Cambria" w:hAnsi="Cambria" w:cs="ArialMT"/>
          <w:sz w:val="20"/>
          <w:szCs w:val="20"/>
        </w:rPr>
        <w:t xml:space="preserve"> phosphate when OTC is not available. OTC is an X-linked disorder and can have a late presentation from carrier states in which there are varying amounts of residual enzyme activity (</w:t>
      </w:r>
      <w:r w:rsidR="00C20CB2">
        <w:rPr>
          <w:rFonts w:ascii="Cambria" w:hAnsi="Cambria" w:cs="ArialMT"/>
          <w:sz w:val="20"/>
          <w:szCs w:val="20"/>
        </w:rPr>
        <w:t>11</w:t>
      </w:r>
      <w:r>
        <w:rPr>
          <w:rFonts w:ascii="Cambria" w:hAnsi="Cambria" w:cs="ArialMT"/>
          <w:sz w:val="20"/>
          <w:szCs w:val="20"/>
        </w:rPr>
        <w:t>). The amount of organic acids (</w:t>
      </w:r>
      <w:proofErr w:type="spellStart"/>
      <w:r>
        <w:rPr>
          <w:rFonts w:ascii="Cambria" w:hAnsi="Cambria" w:cs="ArialMT"/>
          <w:sz w:val="20"/>
          <w:szCs w:val="20"/>
        </w:rPr>
        <w:t>orotic</w:t>
      </w:r>
      <w:proofErr w:type="spellEnd"/>
      <w:r>
        <w:rPr>
          <w:rFonts w:ascii="Cambria" w:hAnsi="Cambria" w:cs="ArialMT"/>
          <w:sz w:val="20"/>
          <w:szCs w:val="20"/>
        </w:rPr>
        <w:t xml:space="preserve"> acids) in the urine may be difficult to detect in these patients because of the varying degree of enzyma</w:t>
      </w:r>
      <w:r w:rsidRPr="00A41E9D">
        <w:rPr>
          <w:rFonts w:ascii="Cambria" w:hAnsi="Cambria" w:cs="ArialMT"/>
          <w:sz w:val="20"/>
          <w:szCs w:val="20"/>
        </w:rPr>
        <w:t>tic activity (</w:t>
      </w:r>
      <w:proofErr w:type="spellStart"/>
      <w:r w:rsidRPr="00A41E9D">
        <w:rPr>
          <w:rFonts w:ascii="Cambria" w:hAnsi="Cambria" w:cs="ArialMT"/>
          <w:sz w:val="20"/>
          <w:szCs w:val="20"/>
          <w:lang w:eastAsia="en-US"/>
        </w:rPr>
        <w:t>lyonization</w:t>
      </w:r>
      <w:proofErr w:type="spellEnd"/>
      <w:r w:rsidRPr="00A41E9D">
        <w:rPr>
          <w:rFonts w:ascii="Cambria" w:hAnsi="Cambria" w:cs="ArialMT"/>
          <w:sz w:val="20"/>
          <w:szCs w:val="20"/>
          <w:lang w:eastAsia="en-US"/>
        </w:rPr>
        <w:t>)</w:t>
      </w:r>
      <w:r>
        <w:rPr>
          <w:rFonts w:ascii="Cambria" w:hAnsi="Cambria" w:cs="ArialMT"/>
          <w:sz w:val="20"/>
          <w:szCs w:val="20"/>
          <w:lang w:eastAsia="en-US"/>
        </w:rPr>
        <w:t xml:space="preserve"> (8</w:t>
      </w:r>
      <w:r w:rsidRPr="00A41E9D">
        <w:rPr>
          <w:rFonts w:ascii="Cambria" w:hAnsi="Cambria" w:cs="ArialMT"/>
          <w:sz w:val="20"/>
          <w:szCs w:val="20"/>
          <w:lang w:eastAsia="en-US"/>
        </w:rPr>
        <w:t xml:space="preserve">).  </w:t>
      </w:r>
      <w:r>
        <w:rPr>
          <w:rFonts w:ascii="Cambria" w:hAnsi="Cambria" w:cs="ArialMT"/>
          <w:sz w:val="20"/>
          <w:szCs w:val="20"/>
          <w:lang w:eastAsia="en-US"/>
        </w:rPr>
        <w:t xml:space="preserve">The </w:t>
      </w:r>
      <w:r w:rsidRPr="00A41E9D">
        <w:rPr>
          <w:rFonts w:ascii="Cambria" w:hAnsi="Cambria" w:cs="ArialMT"/>
          <w:sz w:val="20"/>
          <w:szCs w:val="20"/>
          <w:lang w:eastAsia="en-US"/>
        </w:rPr>
        <w:t>OTC gene has been found to exhibit enormous variation. More than 340 mutations have been identified in families in which there was cli</w:t>
      </w:r>
      <w:r>
        <w:rPr>
          <w:rFonts w:ascii="Cambria" w:hAnsi="Cambria" w:cs="ArialMT"/>
          <w:sz w:val="20"/>
          <w:szCs w:val="20"/>
          <w:lang w:eastAsia="en-US"/>
        </w:rPr>
        <w:t>nical OTC deficiency (9</w:t>
      </w:r>
      <w:r w:rsidRPr="00A41E9D">
        <w:rPr>
          <w:rFonts w:ascii="Cambria" w:hAnsi="Cambria" w:cs="ArialMT"/>
          <w:sz w:val="20"/>
          <w:szCs w:val="20"/>
          <w:lang w:eastAsia="en-US"/>
        </w:rPr>
        <w:t xml:space="preserve">). </w:t>
      </w:r>
      <w:r w:rsidRPr="005B6693">
        <w:rPr>
          <w:rFonts w:ascii="Cambria" w:hAnsi="Cambria" w:cs="ArialMT"/>
          <w:sz w:val="20"/>
          <w:szCs w:val="20"/>
          <w:lang w:eastAsia="en-US"/>
        </w:rPr>
        <w:t>A patient with CPS deficiency (</w:t>
      </w:r>
      <w:proofErr w:type="spellStart"/>
      <w:r w:rsidRPr="005B6693">
        <w:rPr>
          <w:rFonts w:ascii="Cambria" w:hAnsi="Cambria" w:cs="ArialMT"/>
          <w:sz w:val="20"/>
          <w:szCs w:val="20"/>
          <w:lang w:eastAsia="en-US"/>
        </w:rPr>
        <w:t>autosomal</w:t>
      </w:r>
      <w:proofErr w:type="spellEnd"/>
      <w:r>
        <w:rPr>
          <w:rFonts w:ascii="Cambria" w:hAnsi="Cambria" w:cs="ArialMT"/>
          <w:sz w:val="20"/>
          <w:szCs w:val="20"/>
          <w:lang w:eastAsia="en-US"/>
        </w:rPr>
        <w:t xml:space="preserve"> </w:t>
      </w:r>
      <w:r w:rsidRPr="005B6693">
        <w:rPr>
          <w:rFonts w:ascii="Cambria" w:hAnsi="Cambria" w:cs="ArialMT"/>
          <w:sz w:val="20"/>
          <w:szCs w:val="20"/>
          <w:lang w:eastAsia="en-US"/>
        </w:rPr>
        <w:t>recessive) would likely demonstrate mutation of the CPSI gene. However, the possibility of this condition</w:t>
      </w:r>
      <w:r>
        <w:rPr>
          <w:rFonts w:ascii="Cambria" w:hAnsi="Cambria" w:cs="ArialMT"/>
          <w:sz w:val="20"/>
          <w:szCs w:val="20"/>
          <w:lang w:eastAsia="en-US"/>
        </w:rPr>
        <w:t xml:space="preserve"> </w:t>
      </w:r>
      <w:r w:rsidRPr="005B6693">
        <w:rPr>
          <w:rFonts w:ascii="Cambria" w:hAnsi="Cambria" w:cs="ArialMT"/>
          <w:sz w:val="20"/>
          <w:szCs w:val="20"/>
          <w:lang w:eastAsia="en-US"/>
        </w:rPr>
        <w:t>cannot be excluded, as transcriptional regulation of CPS expression by benign variants or polymorphisms</w:t>
      </w:r>
      <w:r>
        <w:rPr>
          <w:rFonts w:ascii="Cambria" w:hAnsi="Cambria" w:cs="ArialMT"/>
          <w:sz w:val="20"/>
          <w:szCs w:val="20"/>
          <w:lang w:eastAsia="en-US"/>
        </w:rPr>
        <w:t xml:space="preserve"> </w:t>
      </w:r>
      <w:r w:rsidRPr="005B6693">
        <w:rPr>
          <w:rFonts w:ascii="Cambria" w:hAnsi="Cambria" w:cs="ArialMT"/>
          <w:sz w:val="20"/>
          <w:szCs w:val="20"/>
          <w:lang w:eastAsia="en-US"/>
        </w:rPr>
        <w:t>is possible and the genetic testing does not detect large heterozygous deletions or duplications, or</w:t>
      </w:r>
      <w:r>
        <w:rPr>
          <w:rFonts w:ascii="Cambria" w:hAnsi="Cambria" w:cs="ArialMT"/>
          <w:sz w:val="20"/>
          <w:szCs w:val="20"/>
          <w:lang w:eastAsia="en-US"/>
        </w:rPr>
        <w:t xml:space="preserve"> </w:t>
      </w:r>
      <w:r w:rsidRPr="005B6693">
        <w:rPr>
          <w:rFonts w:ascii="Cambria" w:hAnsi="Cambria" w:cs="ArialMT"/>
          <w:sz w:val="20"/>
          <w:szCs w:val="20"/>
          <w:lang w:eastAsia="en-US"/>
        </w:rPr>
        <w:t xml:space="preserve">mutations within the promoter or deep </w:t>
      </w:r>
      <w:proofErr w:type="spellStart"/>
      <w:r w:rsidRPr="005B6693">
        <w:rPr>
          <w:rFonts w:ascii="Cambria" w:hAnsi="Cambria" w:cs="ArialMT"/>
          <w:sz w:val="20"/>
          <w:szCs w:val="20"/>
          <w:lang w:eastAsia="en-US"/>
        </w:rPr>
        <w:t>intronic</w:t>
      </w:r>
      <w:proofErr w:type="spellEnd"/>
      <w:r w:rsidRPr="005B6693">
        <w:rPr>
          <w:rFonts w:ascii="Cambria" w:hAnsi="Cambria" w:cs="ArialMT"/>
          <w:sz w:val="20"/>
          <w:szCs w:val="20"/>
          <w:lang w:eastAsia="en-US"/>
        </w:rPr>
        <w:t xml:space="preserve"> regions</w:t>
      </w:r>
      <w:r w:rsidR="00C20CB2">
        <w:rPr>
          <w:rFonts w:ascii="Cambria" w:hAnsi="Cambria" w:cs="ArialMT"/>
          <w:sz w:val="20"/>
          <w:szCs w:val="20"/>
          <w:lang w:eastAsia="en-US"/>
        </w:rPr>
        <w:t xml:space="preserve"> (5).</w:t>
      </w:r>
    </w:p>
    <w:p w:rsidR="005932C8" w:rsidRDefault="005932C8" w:rsidP="00BC2199">
      <w:pPr>
        <w:suppressAutoHyphens w:val="0"/>
        <w:autoSpaceDE w:val="0"/>
        <w:autoSpaceDN w:val="0"/>
        <w:adjustRightInd w:val="0"/>
        <w:rPr>
          <w:rFonts w:ascii="Cambria" w:hAnsi="Cambria" w:cs="ArialMT"/>
          <w:sz w:val="20"/>
          <w:szCs w:val="20"/>
          <w:lang w:eastAsia="en-US"/>
        </w:rPr>
      </w:pPr>
      <w:r w:rsidRPr="005B6693">
        <w:rPr>
          <w:rFonts w:ascii="Cambria" w:hAnsi="Cambria" w:cs="ArialMT"/>
          <w:sz w:val="20"/>
          <w:szCs w:val="20"/>
          <w:lang w:eastAsia="en-US"/>
        </w:rPr>
        <w:t xml:space="preserve">An early recognition of the toxic effects of </w:t>
      </w:r>
      <w:proofErr w:type="spellStart"/>
      <w:r w:rsidRPr="005B6693">
        <w:rPr>
          <w:rFonts w:ascii="Cambria" w:hAnsi="Cambria" w:cs="ArialMT"/>
          <w:sz w:val="20"/>
          <w:szCs w:val="20"/>
          <w:lang w:eastAsia="en-US"/>
        </w:rPr>
        <w:t>hyperammonemia</w:t>
      </w:r>
      <w:proofErr w:type="spellEnd"/>
      <w:r w:rsidRPr="005B6693">
        <w:rPr>
          <w:rFonts w:ascii="Cambria" w:hAnsi="Cambria" w:cs="ArialMT"/>
          <w:sz w:val="20"/>
          <w:szCs w:val="20"/>
          <w:lang w:eastAsia="en-US"/>
        </w:rPr>
        <w:t xml:space="preserve"> and investigation into etiology are critical</w:t>
      </w:r>
      <w:r>
        <w:rPr>
          <w:rFonts w:ascii="Cambria" w:hAnsi="Cambria" w:cs="ArialMT"/>
          <w:sz w:val="20"/>
          <w:szCs w:val="20"/>
          <w:lang w:eastAsia="en-US"/>
        </w:rPr>
        <w:t xml:space="preserve"> </w:t>
      </w:r>
      <w:r w:rsidRPr="005B6693">
        <w:rPr>
          <w:rFonts w:ascii="Cambria" w:hAnsi="Cambria" w:cs="ArialMT"/>
          <w:sz w:val="20"/>
          <w:szCs w:val="20"/>
          <w:lang w:eastAsia="en-US"/>
        </w:rPr>
        <w:t xml:space="preserve">for prognosis. </w:t>
      </w:r>
      <w:r>
        <w:rPr>
          <w:rFonts w:ascii="Cambria" w:hAnsi="Cambria" w:cs="ArialMT"/>
          <w:sz w:val="20"/>
          <w:szCs w:val="20"/>
          <w:lang w:eastAsia="en-US"/>
        </w:rPr>
        <w:t xml:space="preserve">If untreated, patients may develop </w:t>
      </w:r>
      <w:proofErr w:type="spellStart"/>
      <w:r>
        <w:rPr>
          <w:rFonts w:ascii="Cambria" w:hAnsi="Cambria" w:cs="ArialMT"/>
          <w:sz w:val="20"/>
          <w:szCs w:val="20"/>
          <w:lang w:eastAsia="en-US"/>
        </w:rPr>
        <w:t>intracerebral</w:t>
      </w:r>
      <w:proofErr w:type="spellEnd"/>
      <w:r>
        <w:rPr>
          <w:rFonts w:ascii="Cambria" w:hAnsi="Cambria" w:cs="ArialMT"/>
          <w:sz w:val="20"/>
          <w:szCs w:val="20"/>
          <w:lang w:eastAsia="en-US"/>
        </w:rPr>
        <w:t xml:space="preserve"> hypertension, subclinical seizures (40% of cases) and eventually cerebral </w:t>
      </w:r>
      <w:proofErr w:type="spellStart"/>
      <w:r>
        <w:rPr>
          <w:rFonts w:ascii="Cambria" w:hAnsi="Cambria" w:cs="ArialMT"/>
          <w:sz w:val="20"/>
          <w:szCs w:val="20"/>
          <w:lang w:eastAsia="en-US"/>
        </w:rPr>
        <w:t>herniation</w:t>
      </w:r>
      <w:proofErr w:type="spellEnd"/>
      <w:r>
        <w:rPr>
          <w:rFonts w:ascii="Cambria" w:hAnsi="Cambria" w:cs="ArialMT"/>
          <w:sz w:val="20"/>
          <w:szCs w:val="20"/>
          <w:lang w:eastAsia="en-US"/>
        </w:rPr>
        <w:t xml:space="preserve"> and fatal outcome (8). Our</w:t>
      </w:r>
      <w:r w:rsidRPr="005B6693">
        <w:rPr>
          <w:rFonts w:ascii="Cambria" w:hAnsi="Cambria" w:cs="ArialMT"/>
          <w:sz w:val="20"/>
          <w:szCs w:val="20"/>
          <w:lang w:eastAsia="en-US"/>
        </w:rPr>
        <w:t xml:space="preserve"> patient’s symptoms of confusion, lethargy, and weight loss are consistent with a</w:t>
      </w:r>
      <w:r>
        <w:rPr>
          <w:rFonts w:ascii="Cambria" w:hAnsi="Cambria" w:cs="ArialMT"/>
          <w:sz w:val="20"/>
          <w:szCs w:val="20"/>
          <w:lang w:eastAsia="en-US"/>
        </w:rPr>
        <w:t xml:space="preserve"> progressive</w:t>
      </w:r>
      <w:r w:rsidR="00C20CB2">
        <w:rPr>
          <w:rFonts w:ascii="Cambria" w:hAnsi="Cambria" w:cs="ArialMT"/>
          <w:sz w:val="20"/>
          <w:szCs w:val="20"/>
          <w:lang w:eastAsia="en-US"/>
        </w:rPr>
        <w:t xml:space="preserve"> </w:t>
      </w:r>
      <w:proofErr w:type="spellStart"/>
      <w:r w:rsidR="00C20CB2">
        <w:rPr>
          <w:rFonts w:ascii="Cambria" w:hAnsi="Cambria" w:cs="ArialMT"/>
          <w:sz w:val="20"/>
          <w:szCs w:val="20"/>
          <w:lang w:eastAsia="en-US"/>
        </w:rPr>
        <w:t>hyperammonemic</w:t>
      </w:r>
      <w:proofErr w:type="spellEnd"/>
      <w:r w:rsidR="00C20CB2">
        <w:rPr>
          <w:rFonts w:ascii="Cambria" w:hAnsi="Cambria" w:cs="ArialMT"/>
          <w:sz w:val="20"/>
          <w:szCs w:val="20"/>
          <w:lang w:eastAsia="en-US"/>
        </w:rPr>
        <w:t xml:space="preserve"> state. </w:t>
      </w:r>
      <w:r w:rsidRPr="005B6693">
        <w:rPr>
          <w:rFonts w:ascii="Cambria" w:hAnsi="Cambria" w:cs="ArialMT"/>
          <w:sz w:val="20"/>
          <w:szCs w:val="20"/>
          <w:lang w:eastAsia="en-US"/>
        </w:rPr>
        <w:t xml:space="preserve">Further, </w:t>
      </w:r>
      <w:r w:rsidR="00C20CB2" w:rsidRPr="005B6693">
        <w:rPr>
          <w:rFonts w:ascii="Cambria" w:hAnsi="Cambria" w:cs="ArialMT"/>
          <w:sz w:val="20"/>
          <w:szCs w:val="20"/>
          <w:lang w:eastAsia="en-US"/>
        </w:rPr>
        <w:t>quantitative</w:t>
      </w:r>
      <w:r w:rsidRPr="005B6693">
        <w:rPr>
          <w:rFonts w:ascii="Cambria" w:hAnsi="Cambria" w:cs="ArialMT"/>
          <w:sz w:val="20"/>
          <w:szCs w:val="20"/>
          <w:lang w:eastAsia="en-US"/>
        </w:rPr>
        <w:t xml:space="preserve"> evidence of continual elevation of ammonia was</w:t>
      </w:r>
      <w:r>
        <w:rPr>
          <w:rFonts w:ascii="Cambria" w:hAnsi="Cambria" w:cs="ArialMT"/>
          <w:sz w:val="20"/>
          <w:szCs w:val="20"/>
          <w:lang w:eastAsia="en-US"/>
        </w:rPr>
        <w:t xml:space="preserve"> </w:t>
      </w:r>
      <w:r w:rsidRPr="005B6693">
        <w:rPr>
          <w:rFonts w:ascii="Cambria" w:hAnsi="Cambria" w:cs="ArialMT"/>
          <w:sz w:val="20"/>
          <w:szCs w:val="20"/>
          <w:lang w:eastAsia="en-US"/>
        </w:rPr>
        <w:t xml:space="preserve">found. Response to treatment with sodium </w:t>
      </w:r>
      <w:proofErr w:type="spellStart"/>
      <w:r w:rsidRPr="005B6693">
        <w:rPr>
          <w:rFonts w:ascii="Cambria" w:hAnsi="Cambria" w:cs="ArialMT"/>
          <w:sz w:val="20"/>
          <w:szCs w:val="20"/>
          <w:lang w:eastAsia="en-US"/>
        </w:rPr>
        <w:t>phenylacetate</w:t>
      </w:r>
      <w:proofErr w:type="spellEnd"/>
      <w:r w:rsidRPr="005B6693">
        <w:rPr>
          <w:rFonts w:ascii="Cambria" w:hAnsi="Cambria" w:cs="ArialMT"/>
          <w:sz w:val="20"/>
          <w:szCs w:val="20"/>
          <w:lang w:eastAsia="en-US"/>
        </w:rPr>
        <w:t xml:space="preserve"> and sodium benzoate (ammonia scavenging</w:t>
      </w:r>
      <w:r>
        <w:rPr>
          <w:rFonts w:ascii="Cambria" w:hAnsi="Cambria" w:cs="ArialMT"/>
          <w:sz w:val="20"/>
          <w:szCs w:val="20"/>
          <w:lang w:eastAsia="en-US"/>
        </w:rPr>
        <w:t xml:space="preserve"> </w:t>
      </w:r>
      <w:r w:rsidRPr="005B6693">
        <w:rPr>
          <w:rFonts w:ascii="Cambria" w:hAnsi="Cambria" w:cs="ArialMT"/>
          <w:sz w:val="20"/>
          <w:szCs w:val="20"/>
          <w:lang w:eastAsia="en-US"/>
        </w:rPr>
        <w:t>agents) in patients with urea cycle dysfunction can potentially reverse the toxic effects of ammonia. This</w:t>
      </w:r>
      <w:r>
        <w:rPr>
          <w:rFonts w:ascii="Cambria" w:hAnsi="Cambria" w:cs="ArialMT"/>
          <w:sz w:val="20"/>
          <w:szCs w:val="20"/>
          <w:lang w:eastAsia="en-US"/>
        </w:rPr>
        <w:t xml:space="preserve"> </w:t>
      </w:r>
      <w:r w:rsidRPr="005B6693">
        <w:rPr>
          <w:rFonts w:ascii="Cambria" w:hAnsi="Cambria" w:cs="ArialMT"/>
          <w:sz w:val="20"/>
          <w:szCs w:val="20"/>
          <w:lang w:eastAsia="en-US"/>
        </w:rPr>
        <w:t>patient’s ammonia level was reduced to the normal range within 24 hours</w:t>
      </w:r>
      <w:r w:rsidR="006374BB">
        <w:rPr>
          <w:rFonts w:ascii="Cambria" w:hAnsi="Cambria" w:cs="ArialMT"/>
          <w:sz w:val="20"/>
          <w:szCs w:val="20"/>
          <w:lang w:eastAsia="en-US"/>
        </w:rPr>
        <w:t>,</w:t>
      </w:r>
      <w:r w:rsidRPr="005B6693">
        <w:rPr>
          <w:rFonts w:ascii="Cambria" w:hAnsi="Cambria" w:cs="ArialMT"/>
          <w:sz w:val="20"/>
          <w:szCs w:val="20"/>
          <w:lang w:eastAsia="en-US"/>
        </w:rPr>
        <w:t xml:space="preserve"> and she exhibited radiographic</w:t>
      </w:r>
      <w:r>
        <w:rPr>
          <w:rFonts w:ascii="Cambria" w:hAnsi="Cambria" w:cs="ArialMT"/>
          <w:sz w:val="20"/>
          <w:szCs w:val="20"/>
          <w:lang w:eastAsia="en-US"/>
        </w:rPr>
        <w:t xml:space="preserve"> </w:t>
      </w:r>
      <w:r w:rsidRPr="005B6693">
        <w:rPr>
          <w:rFonts w:ascii="Cambria" w:hAnsi="Cambria" w:cs="ArialMT"/>
          <w:sz w:val="20"/>
          <w:szCs w:val="20"/>
          <w:lang w:eastAsia="en-US"/>
        </w:rPr>
        <w:t>improvement</w:t>
      </w:r>
      <w:r w:rsidR="00C20CB2">
        <w:rPr>
          <w:rFonts w:ascii="Cambria" w:hAnsi="Cambria" w:cs="ArialMT"/>
          <w:sz w:val="20"/>
          <w:szCs w:val="20"/>
          <w:lang w:eastAsia="en-US"/>
        </w:rPr>
        <w:t xml:space="preserve"> (FIGURE 3a</w:t>
      </w:r>
      <w:r w:rsidR="00C46E84">
        <w:rPr>
          <w:rFonts w:ascii="Cambria" w:hAnsi="Cambria" w:cs="ArialMT"/>
          <w:sz w:val="20"/>
          <w:szCs w:val="20"/>
          <w:lang w:eastAsia="en-US"/>
        </w:rPr>
        <w:t>/3b</w:t>
      </w:r>
      <w:r w:rsidR="00C20CB2">
        <w:rPr>
          <w:rFonts w:ascii="Cambria" w:hAnsi="Cambria" w:cs="ArialMT"/>
          <w:sz w:val="20"/>
          <w:szCs w:val="20"/>
          <w:lang w:eastAsia="en-US"/>
        </w:rPr>
        <w:t xml:space="preserve">). </w:t>
      </w:r>
      <w:proofErr w:type="spellStart"/>
      <w:r w:rsidRPr="005B6693">
        <w:rPr>
          <w:rFonts w:ascii="Cambria" w:hAnsi="Cambria" w:cs="ArialMT"/>
          <w:sz w:val="20"/>
          <w:szCs w:val="20"/>
          <w:lang w:eastAsia="en-US"/>
        </w:rPr>
        <w:t>Hyperammonemia</w:t>
      </w:r>
      <w:proofErr w:type="spellEnd"/>
      <w:r w:rsidRPr="005B6693">
        <w:rPr>
          <w:rFonts w:ascii="Cambria" w:hAnsi="Cambria" w:cs="ArialMT"/>
          <w:sz w:val="20"/>
          <w:szCs w:val="20"/>
          <w:lang w:eastAsia="en-US"/>
        </w:rPr>
        <w:t xml:space="preserve"> of this etiology that is treate</w:t>
      </w:r>
      <w:r>
        <w:rPr>
          <w:rFonts w:ascii="Cambria" w:hAnsi="Cambria" w:cs="ArialMT"/>
          <w:sz w:val="20"/>
          <w:szCs w:val="20"/>
          <w:lang w:eastAsia="en-US"/>
        </w:rPr>
        <w:t xml:space="preserve">d promptly has a good prognosis. </w:t>
      </w:r>
      <w:r w:rsidRPr="005B6693">
        <w:rPr>
          <w:rFonts w:ascii="Cambria" w:hAnsi="Cambria" w:cs="ArialMT"/>
          <w:sz w:val="20"/>
          <w:szCs w:val="20"/>
          <w:lang w:eastAsia="en-US"/>
        </w:rPr>
        <w:t>Urea cycle defects are treatable with low-protein</w:t>
      </w:r>
      <w:r>
        <w:rPr>
          <w:rFonts w:ascii="Cambria" w:hAnsi="Cambria" w:cs="ArialMT"/>
          <w:sz w:val="20"/>
          <w:szCs w:val="20"/>
          <w:lang w:eastAsia="en-US"/>
        </w:rPr>
        <w:t xml:space="preserve"> diet</w:t>
      </w:r>
      <w:r w:rsidRPr="005B6693">
        <w:rPr>
          <w:rFonts w:ascii="Cambria" w:hAnsi="Cambria" w:cs="ArialMT"/>
          <w:sz w:val="20"/>
          <w:szCs w:val="20"/>
          <w:lang w:eastAsia="en-US"/>
        </w:rPr>
        <w:t>, amino acid supplementation, and/or liver transplant</w:t>
      </w:r>
      <w:r w:rsidR="00C20CB2">
        <w:rPr>
          <w:rFonts w:ascii="Cambria" w:hAnsi="Cambria" w:cs="ArialMT"/>
          <w:sz w:val="20"/>
          <w:szCs w:val="20"/>
          <w:lang w:eastAsia="en-US"/>
        </w:rPr>
        <w:t xml:space="preserve"> (7).</w:t>
      </w:r>
      <w:r>
        <w:rPr>
          <w:rFonts w:ascii="Cambria" w:hAnsi="Cambria" w:cs="ArialMT"/>
          <w:sz w:val="13"/>
          <w:szCs w:val="13"/>
          <w:lang w:eastAsia="en-US"/>
        </w:rPr>
        <w:t xml:space="preserve"> </w:t>
      </w:r>
      <w:r>
        <w:rPr>
          <w:rFonts w:ascii="Cambria" w:hAnsi="Cambria" w:cs="ArialMT"/>
          <w:sz w:val="20"/>
          <w:szCs w:val="20"/>
          <w:lang w:eastAsia="en-US"/>
        </w:rPr>
        <w:t>Unfortunately, in this case, be</w:t>
      </w:r>
      <w:r w:rsidRPr="005B6693">
        <w:rPr>
          <w:rFonts w:ascii="Cambria" w:hAnsi="Cambria" w:cs="ArialMT"/>
          <w:sz w:val="20"/>
          <w:szCs w:val="20"/>
          <w:lang w:eastAsia="en-US"/>
        </w:rPr>
        <w:t xml:space="preserve">cause of prolonged toxicity, the patient’s status </w:t>
      </w:r>
      <w:proofErr w:type="spellStart"/>
      <w:r w:rsidRPr="005B6693">
        <w:rPr>
          <w:rFonts w:ascii="Cambria" w:hAnsi="Cambria" w:cs="ArialMT"/>
          <w:sz w:val="20"/>
          <w:szCs w:val="20"/>
          <w:lang w:eastAsia="en-US"/>
        </w:rPr>
        <w:t>epilepticus</w:t>
      </w:r>
      <w:proofErr w:type="spellEnd"/>
      <w:r w:rsidRPr="005B6693">
        <w:rPr>
          <w:rFonts w:ascii="Cambria" w:hAnsi="Cambria" w:cs="ArialMT"/>
          <w:sz w:val="20"/>
          <w:szCs w:val="20"/>
          <w:lang w:eastAsia="en-US"/>
        </w:rPr>
        <w:t xml:space="preserve"> could not be resolved</w:t>
      </w:r>
      <w:r>
        <w:rPr>
          <w:rFonts w:ascii="Cambria" w:hAnsi="Cambria" w:cs="ArialMT"/>
          <w:sz w:val="20"/>
          <w:szCs w:val="20"/>
          <w:lang w:eastAsia="en-US"/>
        </w:rPr>
        <w:t xml:space="preserve"> and she suffered a fatal outcome. Our case provides emphasis that early </w:t>
      </w:r>
      <w:r w:rsidRPr="005B6693">
        <w:rPr>
          <w:rFonts w:ascii="Cambria" w:hAnsi="Cambria" w:cs="ArialMT"/>
          <w:sz w:val="20"/>
          <w:szCs w:val="20"/>
          <w:lang w:eastAsia="en-US"/>
        </w:rPr>
        <w:t>recognition of</w:t>
      </w:r>
      <w:r>
        <w:rPr>
          <w:rFonts w:ascii="Cambria" w:hAnsi="Cambria" w:cs="ArialMT"/>
          <w:sz w:val="20"/>
          <w:szCs w:val="20"/>
          <w:lang w:eastAsia="en-US"/>
        </w:rPr>
        <w:t xml:space="preserve"> </w:t>
      </w:r>
      <w:proofErr w:type="spellStart"/>
      <w:r>
        <w:rPr>
          <w:rFonts w:ascii="Cambria" w:hAnsi="Cambria" w:cs="ArialMT"/>
          <w:sz w:val="20"/>
          <w:szCs w:val="20"/>
          <w:lang w:eastAsia="en-US"/>
        </w:rPr>
        <w:t>hyperammonemic</w:t>
      </w:r>
      <w:proofErr w:type="spellEnd"/>
      <w:r>
        <w:rPr>
          <w:rFonts w:ascii="Cambria" w:hAnsi="Cambria" w:cs="ArialMT"/>
          <w:sz w:val="20"/>
          <w:szCs w:val="20"/>
          <w:lang w:eastAsia="en-US"/>
        </w:rPr>
        <w:t xml:space="preserve"> encephalopathy without evidence of liver failure should prompt investigation for a UCD. </w:t>
      </w:r>
    </w:p>
    <w:p w:rsidR="005932C8" w:rsidRDefault="005932C8" w:rsidP="00BC2199">
      <w:pPr>
        <w:suppressAutoHyphens w:val="0"/>
        <w:autoSpaceDE w:val="0"/>
        <w:autoSpaceDN w:val="0"/>
        <w:adjustRightInd w:val="0"/>
        <w:rPr>
          <w:rFonts w:ascii="Cambria" w:hAnsi="Cambria" w:cs="ArialMT"/>
          <w:sz w:val="20"/>
          <w:szCs w:val="20"/>
          <w:lang w:eastAsia="en-US"/>
        </w:rPr>
      </w:pPr>
    </w:p>
    <w:p w:rsidR="005932C8" w:rsidRDefault="005932C8" w:rsidP="00BC2199">
      <w:pPr>
        <w:suppressAutoHyphens w:val="0"/>
        <w:autoSpaceDE w:val="0"/>
        <w:autoSpaceDN w:val="0"/>
        <w:adjustRightInd w:val="0"/>
        <w:rPr>
          <w:rFonts w:ascii="Cambria" w:hAnsi="Cambria" w:cs="Arial"/>
          <w:sz w:val="20"/>
          <w:szCs w:val="20"/>
        </w:rPr>
      </w:pPr>
    </w:p>
    <w:p w:rsidR="005932C8" w:rsidRPr="00C46E84" w:rsidRDefault="005932C8" w:rsidP="00BC2199">
      <w:pPr>
        <w:suppressAutoHyphens w:val="0"/>
        <w:autoSpaceDE w:val="0"/>
        <w:autoSpaceDN w:val="0"/>
        <w:adjustRightInd w:val="0"/>
        <w:rPr>
          <w:rFonts w:ascii="Cambria" w:hAnsi="Cambria" w:cs="Arial"/>
          <w:sz w:val="20"/>
          <w:szCs w:val="20"/>
          <w:u w:val="single"/>
        </w:rPr>
      </w:pPr>
      <w:r w:rsidRPr="00C46E84">
        <w:rPr>
          <w:rFonts w:ascii="Cambria" w:hAnsi="Cambria" w:cs="Arial"/>
          <w:sz w:val="20"/>
          <w:szCs w:val="20"/>
          <w:u w:val="single"/>
        </w:rPr>
        <w:t>Summary</w:t>
      </w:r>
    </w:p>
    <w:p w:rsidR="005932C8" w:rsidRDefault="005932C8" w:rsidP="00BC2199">
      <w:pPr>
        <w:suppressAutoHyphens w:val="0"/>
        <w:autoSpaceDE w:val="0"/>
        <w:autoSpaceDN w:val="0"/>
        <w:adjustRightInd w:val="0"/>
        <w:rPr>
          <w:rFonts w:ascii="Cambria" w:hAnsi="Cambria" w:cs="Arial"/>
          <w:sz w:val="20"/>
          <w:szCs w:val="20"/>
        </w:rPr>
      </w:pPr>
      <w:bookmarkStart w:id="0" w:name="_GoBack"/>
      <w:bookmarkEnd w:id="0"/>
    </w:p>
    <w:p w:rsidR="005932C8" w:rsidRPr="00C21AA4" w:rsidRDefault="005932C8" w:rsidP="00644BD3">
      <w:pPr>
        <w:suppressAutoHyphens w:val="0"/>
        <w:autoSpaceDE w:val="0"/>
        <w:autoSpaceDN w:val="0"/>
        <w:adjustRightInd w:val="0"/>
        <w:rPr>
          <w:rFonts w:ascii="Cambria" w:hAnsi="Cambria" w:cs="ArialMT"/>
          <w:sz w:val="20"/>
          <w:szCs w:val="20"/>
          <w:lang w:eastAsia="en-US"/>
        </w:rPr>
      </w:pPr>
      <w:r>
        <w:rPr>
          <w:rFonts w:ascii="Cambria" w:hAnsi="Cambria" w:cs="Arial"/>
          <w:sz w:val="20"/>
          <w:szCs w:val="20"/>
        </w:rPr>
        <w:t xml:space="preserve">Although most commonly associated with infancy, urea cycle defects should be considered in adults with </w:t>
      </w:r>
      <w:proofErr w:type="spellStart"/>
      <w:r>
        <w:rPr>
          <w:rFonts w:ascii="Cambria" w:hAnsi="Cambria" w:cs="Arial"/>
          <w:sz w:val="20"/>
          <w:szCs w:val="20"/>
        </w:rPr>
        <w:t>hyperammonemic</w:t>
      </w:r>
      <w:proofErr w:type="spellEnd"/>
      <w:r>
        <w:rPr>
          <w:rFonts w:ascii="Cambria" w:hAnsi="Cambria" w:cs="Arial"/>
          <w:sz w:val="20"/>
          <w:szCs w:val="20"/>
        </w:rPr>
        <w:t xml:space="preserve"> encephalopathy. The signs and symptoms may be vague and atypical but patients may pr</w:t>
      </w:r>
      <w:r w:rsidR="00C46E84">
        <w:rPr>
          <w:rFonts w:ascii="Cambria" w:hAnsi="Cambria" w:cs="Arial"/>
          <w:sz w:val="20"/>
          <w:szCs w:val="20"/>
        </w:rPr>
        <w:t xml:space="preserve">esent with recurrent and </w:t>
      </w:r>
      <w:proofErr w:type="spellStart"/>
      <w:r w:rsidR="00C46E84">
        <w:rPr>
          <w:rFonts w:ascii="Cambria" w:hAnsi="Cambria" w:cs="Arial"/>
          <w:sz w:val="20"/>
          <w:szCs w:val="20"/>
        </w:rPr>
        <w:t>fulmina</w:t>
      </w:r>
      <w:r>
        <w:rPr>
          <w:rFonts w:ascii="Cambria" w:hAnsi="Cambria" w:cs="Arial"/>
          <w:sz w:val="20"/>
          <w:szCs w:val="20"/>
        </w:rPr>
        <w:t>nt</w:t>
      </w:r>
      <w:proofErr w:type="spellEnd"/>
      <w:r>
        <w:rPr>
          <w:rFonts w:ascii="Cambria" w:hAnsi="Cambria" w:cs="Arial"/>
          <w:sz w:val="20"/>
          <w:szCs w:val="20"/>
        </w:rPr>
        <w:t xml:space="preserve"> presentations. Specific metabolic testing and enzymatic or molecular confirmation are necessary to establish the diagnosis but may not always be possible due to presently still </w:t>
      </w:r>
      <w:proofErr w:type="spellStart"/>
      <w:r>
        <w:rPr>
          <w:rFonts w:ascii="Cambria" w:hAnsi="Cambria" w:cs="Arial"/>
          <w:sz w:val="20"/>
          <w:szCs w:val="20"/>
        </w:rPr>
        <w:t>undescribed</w:t>
      </w:r>
      <w:proofErr w:type="spellEnd"/>
      <w:r>
        <w:rPr>
          <w:rFonts w:ascii="Cambria" w:hAnsi="Cambria" w:cs="Arial"/>
          <w:sz w:val="20"/>
          <w:szCs w:val="20"/>
        </w:rPr>
        <w:t xml:space="preserve"> mutations. Early recognition and treatment with medication, dietary protein restrictions and/or liver transplant can improve long term outcome.</w:t>
      </w:r>
    </w:p>
    <w:p w:rsidR="005932C8" w:rsidRDefault="005932C8" w:rsidP="00C21AA4">
      <w:pPr>
        <w:pStyle w:val="PlainText"/>
        <w:rPr>
          <w:rFonts w:ascii="Cambria" w:hAnsi="Cambria" w:cs="ArialMT"/>
          <w:sz w:val="20"/>
          <w:szCs w:val="20"/>
        </w:rPr>
      </w:pPr>
    </w:p>
    <w:p w:rsidR="005932C8" w:rsidRDefault="00C46E84" w:rsidP="00C21AA4">
      <w:pPr>
        <w:pStyle w:val="PlainText"/>
        <w:tabs>
          <w:tab w:val="left" w:pos="3869"/>
        </w:tabs>
        <w:rPr>
          <w:rFonts w:ascii="Cambria" w:hAnsi="Cambria" w:cs="ArialMT"/>
          <w:sz w:val="20"/>
          <w:szCs w:val="20"/>
        </w:rPr>
      </w:pPr>
      <w:r>
        <w:rPr>
          <w:rFonts w:ascii="Cambria" w:hAnsi="Cambria" w:cs="ArialMT"/>
          <w:sz w:val="20"/>
          <w:szCs w:val="20"/>
        </w:rPr>
        <w:t>Figure 3a:</w:t>
      </w:r>
      <w:r w:rsidR="004B169A">
        <w:rPr>
          <w:rFonts w:ascii="Cambria" w:hAnsi="Cambria" w:cs="ArialMT"/>
          <w:sz w:val="20"/>
          <w:szCs w:val="20"/>
        </w:rPr>
        <w:t xml:space="preserve"> </w:t>
      </w:r>
      <w:r>
        <w:rPr>
          <w:rFonts w:ascii="Cambria" w:hAnsi="Cambria" w:cs="ArialMT"/>
          <w:sz w:val="20"/>
          <w:szCs w:val="20"/>
        </w:rPr>
        <w:t>Diffusion weighted restricted MRI</w:t>
      </w:r>
      <w:r w:rsidR="005932C8">
        <w:rPr>
          <w:rFonts w:ascii="Cambria" w:hAnsi="Cambria" w:cs="ArialMT"/>
          <w:sz w:val="20"/>
          <w:szCs w:val="20"/>
        </w:rPr>
        <w:tab/>
        <w:t xml:space="preserve">Figure 3b: </w:t>
      </w:r>
      <w:r>
        <w:rPr>
          <w:rFonts w:ascii="Cambria" w:hAnsi="Cambria" w:cs="ArialMT"/>
          <w:sz w:val="20"/>
          <w:szCs w:val="20"/>
        </w:rPr>
        <w:t>FLAIR MRI</w:t>
      </w:r>
    </w:p>
    <w:p w:rsidR="005932C8" w:rsidRDefault="005932C8" w:rsidP="00C21AA4">
      <w:pPr>
        <w:pStyle w:val="PlainText"/>
        <w:tabs>
          <w:tab w:val="left" w:pos="1953"/>
          <w:tab w:val="left" w:pos="3869"/>
          <w:tab w:val="left" w:pos="5747"/>
        </w:tabs>
        <w:rPr>
          <w:rFonts w:ascii="Cambria" w:hAnsi="Cambria" w:cs="ArialMT"/>
          <w:sz w:val="20"/>
          <w:szCs w:val="20"/>
        </w:rPr>
      </w:pPr>
      <w:r>
        <w:rPr>
          <w:rFonts w:ascii="Cambria" w:hAnsi="Cambria" w:cs="ArialMT"/>
          <w:sz w:val="20"/>
          <w:szCs w:val="20"/>
        </w:rPr>
        <w:t>10/21</w:t>
      </w:r>
      <w:r>
        <w:rPr>
          <w:rFonts w:ascii="Cambria" w:hAnsi="Cambria" w:cs="ArialMT"/>
          <w:sz w:val="20"/>
          <w:szCs w:val="20"/>
        </w:rPr>
        <w:tab/>
        <w:t>10/28</w:t>
      </w:r>
      <w:r>
        <w:rPr>
          <w:rFonts w:ascii="Cambria" w:hAnsi="Cambria" w:cs="ArialMT"/>
          <w:sz w:val="20"/>
          <w:szCs w:val="20"/>
        </w:rPr>
        <w:tab/>
        <w:t>10/22</w:t>
      </w:r>
      <w:r>
        <w:rPr>
          <w:rFonts w:ascii="Cambria" w:hAnsi="Cambria" w:cs="ArialMT"/>
          <w:sz w:val="20"/>
          <w:szCs w:val="20"/>
        </w:rPr>
        <w:tab/>
        <w:t>10/30</w:t>
      </w:r>
    </w:p>
    <w:p w:rsidR="005932C8" w:rsidRDefault="00C46E84" w:rsidP="00C21AA4">
      <w:pPr>
        <w:pStyle w:val="PlainText"/>
        <w:rPr>
          <w:rFonts w:ascii="Cambria" w:hAnsi="Cambria" w:cs="ArialMT"/>
          <w:sz w:val="20"/>
          <w:szCs w:val="20"/>
        </w:rPr>
      </w:pPr>
      <w:r>
        <w:rPr>
          <w:rFonts w:ascii="Cambria" w:hAnsi="Cambria" w:cs="ArialMT"/>
          <w:noProof/>
          <w:sz w:val="20"/>
          <w:szCs w:val="20"/>
        </w:rPr>
        <w:drawing>
          <wp:inline distT="0" distB="0" distL="0" distR="0">
            <wp:extent cx="1169035" cy="15424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69035" cy="1542415"/>
                    </a:xfrm>
                    <a:prstGeom prst="rect">
                      <a:avLst/>
                    </a:prstGeom>
                    <a:noFill/>
                    <a:ln w="9525">
                      <a:noFill/>
                      <a:miter lim="800000"/>
                      <a:headEnd/>
                      <a:tailEnd/>
                    </a:ln>
                  </pic:spPr>
                </pic:pic>
              </a:graphicData>
            </a:graphic>
          </wp:inline>
        </w:drawing>
      </w:r>
      <w:r>
        <w:rPr>
          <w:rFonts w:ascii="Cambria" w:hAnsi="Cambria" w:cs="ArialMT"/>
          <w:noProof/>
          <w:sz w:val="20"/>
          <w:szCs w:val="20"/>
        </w:rPr>
        <w:drawing>
          <wp:inline distT="0" distB="0" distL="0" distR="0">
            <wp:extent cx="1169035" cy="15424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169035" cy="1542415"/>
                    </a:xfrm>
                    <a:prstGeom prst="rect">
                      <a:avLst/>
                    </a:prstGeom>
                    <a:noFill/>
                    <a:ln w="9525">
                      <a:noFill/>
                      <a:miter lim="800000"/>
                      <a:headEnd/>
                      <a:tailEnd/>
                    </a:ln>
                  </pic:spPr>
                </pic:pic>
              </a:graphicData>
            </a:graphic>
          </wp:inline>
        </w:drawing>
      </w:r>
      <w:r>
        <w:rPr>
          <w:rFonts w:ascii="Cambria" w:hAnsi="Cambria" w:cs="ArialMT"/>
          <w:noProof/>
          <w:sz w:val="20"/>
          <w:szCs w:val="20"/>
        </w:rPr>
        <w:drawing>
          <wp:inline distT="0" distB="0" distL="0" distR="0">
            <wp:extent cx="1169035" cy="154241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169035" cy="1542415"/>
                    </a:xfrm>
                    <a:prstGeom prst="rect">
                      <a:avLst/>
                    </a:prstGeom>
                    <a:noFill/>
                    <a:ln w="9525">
                      <a:noFill/>
                      <a:miter lim="800000"/>
                      <a:headEnd/>
                      <a:tailEnd/>
                    </a:ln>
                  </pic:spPr>
                </pic:pic>
              </a:graphicData>
            </a:graphic>
          </wp:inline>
        </w:drawing>
      </w:r>
      <w:r>
        <w:rPr>
          <w:rFonts w:ascii="Cambria" w:hAnsi="Cambria" w:cs="ArialMT"/>
          <w:noProof/>
          <w:sz w:val="20"/>
          <w:szCs w:val="20"/>
        </w:rPr>
        <w:drawing>
          <wp:inline distT="0" distB="0" distL="0" distR="0">
            <wp:extent cx="1192530" cy="1550670"/>
            <wp:effectExtent l="1905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192530" cy="1550670"/>
                    </a:xfrm>
                    <a:prstGeom prst="rect">
                      <a:avLst/>
                    </a:prstGeom>
                    <a:noFill/>
                    <a:ln w="9525">
                      <a:noFill/>
                      <a:miter lim="800000"/>
                      <a:headEnd/>
                      <a:tailEnd/>
                    </a:ln>
                  </pic:spPr>
                </pic:pic>
              </a:graphicData>
            </a:graphic>
          </wp:inline>
        </w:drawing>
      </w:r>
    </w:p>
    <w:p w:rsidR="005932C8" w:rsidRDefault="005932C8" w:rsidP="00644BD3">
      <w:pPr>
        <w:suppressAutoHyphens w:val="0"/>
        <w:autoSpaceDE w:val="0"/>
        <w:autoSpaceDN w:val="0"/>
        <w:adjustRightInd w:val="0"/>
        <w:rPr>
          <w:rFonts w:ascii="ArialMT" w:hAnsi="ArialMT" w:cs="ArialMT"/>
          <w:sz w:val="20"/>
          <w:szCs w:val="20"/>
          <w:lang w:eastAsia="en-US"/>
        </w:rPr>
      </w:pPr>
    </w:p>
    <w:p w:rsidR="005932C8" w:rsidRDefault="005932C8" w:rsidP="00644BD3">
      <w:pPr>
        <w:suppressAutoHyphens w:val="0"/>
        <w:autoSpaceDE w:val="0"/>
        <w:autoSpaceDN w:val="0"/>
        <w:adjustRightInd w:val="0"/>
        <w:rPr>
          <w:rFonts w:ascii="ArialMT" w:hAnsi="ArialMT" w:cs="ArialMT"/>
          <w:sz w:val="20"/>
          <w:szCs w:val="20"/>
          <w:lang w:eastAsia="en-US"/>
        </w:rPr>
      </w:pPr>
    </w:p>
    <w:p w:rsidR="00C20CB2" w:rsidRPr="00380ED0" w:rsidRDefault="00C20CB2" w:rsidP="00C20CB2">
      <w:pPr>
        <w:suppressAutoHyphens w:val="0"/>
        <w:autoSpaceDE w:val="0"/>
        <w:autoSpaceDN w:val="0"/>
        <w:adjustRightInd w:val="0"/>
        <w:rPr>
          <w:rFonts w:asciiTheme="majorHAnsi" w:eastAsia="Times New Roman" w:hAnsiTheme="majorHAnsi" w:cs="ArialMT"/>
          <w:sz w:val="20"/>
          <w:szCs w:val="20"/>
          <w:lang w:eastAsia="en-US"/>
        </w:rPr>
      </w:pPr>
      <w:r w:rsidRPr="00380ED0">
        <w:rPr>
          <w:rFonts w:asciiTheme="majorHAnsi" w:eastAsia="Times New Roman" w:hAnsiTheme="majorHAnsi" w:cs="Arial-BoldMT"/>
          <w:b/>
          <w:bCs/>
          <w:sz w:val="20"/>
          <w:szCs w:val="20"/>
          <w:lang w:eastAsia="en-US"/>
        </w:rPr>
        <w:t>References</w:t>
      </w:r>
      <w:r w:rsidRPr="00380ED0">
        <w:rPr>
          <w:rFonts w:asciiTheme="majorHAnsi" w:eastAsia="Times New Roman" w:hAnsiTheme="majorHAnsi" w:cs="ArialMT"/>
          <w:sz w:val="20"/>
          <w:szCs w:val="20"/>
          <w:lang w:eastAsia="en-US"/>
        </w:rPr>
        <w:t>:</w:t>
      </w:r>
    </w:p>
    <w:p w:rsidR="00C20CB2" w:rsidRPr="00380ED0" w:rsidRDefault="00C20CB2" w:rsidP="00C20CB2">
      <w:pPr>
        <w:suppressAutoHyphens w:val="0"/>
        <w:autoSpaceDE w:val="0"/>
        <w:autoSpaceDN w:val="0"/>
        <w:adjustRightInd w:val="0"/>
        <w:rPr>
          <w:rFonts w:asciiTheme="majorHAnsi" w:eastAsia="Times New Roman" w:hAnsiTheme="majorHAnsi" w:cs="ArialMT"/>
          <w:sz w:val="20"/>
          <w:szCs w:val="20"/>
          <w:lang w:eastAsia="en-US"/>
        </w:rPr>
      </w:pPr>
      <w:proofErr w:type="gramStart"/>
      <w:r w:rsidRPr="00380ED0">
        <w:rPr>
          <w:rFonts w:asciiTheme="majorHAnsi" w:eastAsia="Times New Roman" w:hAnsiTheme="majorHAnsi" w:cs="ArialMT"/>
          <w:sz w:val="20"/>
          <w:szCs w:val="20"/>
          <w:lang w:eastAsia="en-US"/>
        </w:rPr>
        <w:t>1.Niemi</w:t>
      </w:r>
      <w:proofErr w:type="gramEnd"/>
      <w:r w:rsidRPr="00380ED0">
        <w:rPr>
          <w:rFonts w:asciiTheme="majorHAnsi" w:eastAsia="Times New Roman" w:hAnsiTheme="majorHAnsi" w:cs="ArialMT"/>
          <w:sz w:val="20"/>
          <w:szCs w:val="20"/>
          <w:lang w:eastAsia="en-US"/>
        </w:rPr>
        <w:t xml:space="preserve"> AK &amp; </w:t>
      </w:r>
      <w:proofErr w:type="spellStart"/>
      <w:r w:rsidRPr="00380ED0">
        <w:rPr>
          <w:rFonts w:asciiTheme="majorHAnsi" w:eastAsia="Times New Roman" w:hAnsiTheme="majorHAnsi" w:cs="ArialMT"/>
          <w:sz w:val="20"/>
          <w:szCs w:val="20"/>
          <w:lang w:eastAsia="en-US"/>
        </w:rPr>
        <w:t>Enns</w:t>
      </w:r>
      <w:proofErr w:type="spellEnd"/>
      <w:r w:rsidRPr="00380ED0">
        <w:rPr>
          <w:rFonts w:asciiTheme="majorHAnsi" w:eastAsia="Times New Roman" w:hAnsiTheme="majorHAnsi" w:cs="ArialMT"/>
          <w:sz w:val="20"/>
          <w:szCs w:val="20"/>
          <w:lang w:eastAsia="en-US"/>
        </w:rPr>
        <w:t xml:space="preserve"> GM. Pharmacology review: Sodium </w:t>
      </w:r>
      <w:proofErr w:type="spellStart"/>
      <w:r w:rsidRPr="00380ED0">
        <w:rPr>
          <w:rFonts w:asciiTheme="majorHAnsi" w:eastAsia="Times New Roman" w:hAnsiTheme="majorHAnsi" w:cs="ArialMT"/>
          <w:sz w:val="20"/>
          <w:szCs w:val="20"/>
          <w:lang w:eastAsia="en-US"/>
        </w:rPr>
        <w:t>phenylacetate</w:t>
      </w:r>
      <w:proofErr w:type="spellEnd"/>
      <w:r w:rsidRPr="00380ED0">
        <w:rPr>
          <w:rFonts w:asciiTheme="majorHAnsi" w:eastAsia="Times New Roman" w:hAnsiTheme="majorHAnsi" w:cs="ArialMT"/>
          <w:sz w:val="20"/>
          <w:szCs w:val="20"/>
          <w:lang w:eastAsia="en-US"/>
        </w:rPr>
        <w:t xml:space="preserve"> and sodium benzoate in the</w:t>
      </w:r>
    </w:p>
    <w:p w:rsidR="00C20CB2" w:rsidRPr="00380ED0" w:rsidRDefault="00C20CB2" w:rsidP="00C20CB2">
      <w:pPr>
        <w:suppressAutoHyphens w:val="0"/>
        <w:autoSpaceDE w:val="0"/>
        <w:autoSpaceDN w:val="0"/>
        <w:adjustRightInd w:val="0"/>
        <w:rPr>
          <w:rFonts w:asciiTheme="majorHAnsi" w:eastAsia="Times New Roman" w:hAnsiTheme="majorHAnsi" w:cs="ArialMT"/>
          <w:sz w:val="20"/>
          <w:szCs w:val="20"/>
          <w:lang w:eastAsia="en-US"/>
        </w:rPr>
      </w:pPr>
      <w:proofErr w:type="gramStart"/>
      <w:r w:rsidRPr="00380ED0">
        <w:rPr>
          <w:rFonts w:asciiTheme="majorHAnsi" w:eastAsia="Times New Roman" w:hAnsiTheme="majorHAnsi" w:cs="ArialMT"/>
          <w:sz w:val="20"/>
          <w:szCs w:val="20"/>
          <w:lang w:eastAsia="en-US"/>
        </w:rPr>
        <w:t>treatment</w:t>
      </w:r>
      <w:proofErr w:type="gramEnd"/>
      <w:r w:rsidRPr="00380ED0">
        <w:rPr>
          <w:rFonts w:asciiTheme="majorHAnsi" w:eastAsia="Times New Roman" w:hAnsiTheme="majorHAnsi" w:cs="ArialMT"/>
          <w:sz w:val="20"/>
          <w:szCs w:val="20"/>
          <w:lang w:eastAsia="en-US"/>
        </w:rPr>
        <w:t xml:space="preserve"> of neonatal </w:t>
      </w:r>
      <w:proofErr w:type="spellStart"/>
      <w:r w:rsidRPr="00380ED0">
        <w:rPr>
          <w:rFonts w:asciiTheme="majorHAnsi" w:eastAsia="Times New Roman" w:hAnsiTheme="majorHAnsi" w:cs="ArialMT"/>
          <w:sz w:val="20"/>
          <w:szCs w:val="20"/>
          <w:lang w:eastAsia="en-US"/>
        </w:rPr>
        <w:t>hyperammonemia</w:t>
      </w:r>
      <w:proofErr w:type="spellEnd"/>
      <w:r w:rsidRPr="00380ED0">
        <w:rPr>
          <w:rFonts w:asciiTheme="majorHAnsi" w:eastAsia="Times New Roman" w:hAnsiTheme="majorHAnsi" w:cs="ArialMT"/>
          <w:sz w:val="20"/>
          <w:szCs w:val="20"/>
          <w:lang w:eastAsia="en-US"/>
        </w:rPr>
        <w:t xml:space="preserve">. </w:t>
      </w:r>
      <w:proofErr w:type="spellStart"/>
      <w:proofErr w:type="gramStart"/>
      <w:r w:rsidRPr="00380ED0">
        <w:rPr>
          <w:rFonts w:asciiTheme="majorHAnsi" w:eastAsia="Times New Roman" w:hAnsiTheme="majorHAnsi" w:cs="ArialMT"/>
          <w:sz w:val="20"/>
          <w:szCs w:val="20"/>
          <w:lang w:eastAsia="en-US"/>
        </w:rPr>
        <w:t>Neoreviews</w:t>
      </w:r>
      <w:proofErr w:type="spellEnd"/>
      <w:r w:rsidRPr="00380ED0">
        <w:rPr>
          <w:rFonts w:asciiTheme="majorHAnsi" w:eastAsia="Times New Roman" w:hAnsiTheme="majorHAnsi" w:cs="ArialMT"/>
          <w:sz w:val="20"/>
          <w:szCs w:val="20"/>
          <w:lang w:eastAsia="en-US"/>
        </w:rPr>
        <w:t>.</w:t>
      </w:r>
      <w:proofErr w:type="gramEnd"/>
      <w:r w:rsidRPr="00380ED0">
        <w:rPr>
          <w:rFonts w:asciiTheme="majorHAnsi" w:eastAsia="Times New Roman" w:hAnsiTheme="majorHAnsi" w:cs="ArialMT"/>
          <w:sz w:val="20"/>
          <w:szCs w:val="20"/>
          <w:lang w:eastAsia="en-US"/>
        </w:rPr>
        <w:t xml:space="preserve"> 2006, 7: E486.</w:t>
      </w:r>
    </w:p>
    <w:p w:rsidR="00C20CB2" w:rsidRPr="00380ED0" w:rsidRDefault="00C20CB2" w:rsidP="00C20CB2">
      <w:pPr>
        <w:suppressAutoHyphens w:val="0"/>
        <w:autoSpaceDE w:val="0"/>
        <w:autoSpaceDN w:val="0"/>
        <w:adjustRightInd w:val="0"/>
        <w:rPr>
          <w:rFonts w:asciiTheme="majorHAnsi" w:eastAsia="Times New Roman" w:hAnsiTheme="majorHAnsi" w:cs="ArialMT"/>
          <w:sz w:val="20"/>
          <w:szCs w:val="20"/>
          <w:lang w:eastAsia="en-US"/>
        </w:rPr>
      </w:pPr>
      <w:proofErr w:type="gramStart"/>
      <w:r w:rsidRPr="00380ED0">
        <w:rPr>
          <w:rFonts w:asciiTheme="majorHAnsi" w:eastAsia="Times New Roman" w:hAnsiTheme="majorHAnsi" w:cs="ArialMT"/>
          <w:sz w:val="20"/>
          <w:szCs w:val="20"/>
          <w:lang w:eastAsia="en-US"/>
        </w:rPr>
        <w:t>2.Clay</w:t>
      </w:r>
      <w:proofErr w:type="gramEnd"/>
      <w:r w:rsidRPr="00380ED0">
        <w:rPr>
          <w:rFonts w:asciiTheme="majorHAnsi" w:eastAsia="Times New Roman" w:hAnsiTheme="majorHAnsi" w:cs="ArialMT"/>
          <w:sz w:val="20"/>
          <w:szCs w:val="20"/>
          <w:lang w:eastAsia="en-US"/>
        </w:rPr>
        <w:t xml:space="preserve"> AS &amp; </w:t>
      </w:r>
      <w:proofErr w:type="spellStart"/>
      <w:r w:rsidRPr="00380ED0">
        <w:rPr>
          <w:rFonts w:asciiTheme="majorHAnsi" w:eastAsia="Times New Roman" w:hAnsiTheme="majorHAnsi" w:cs="ArialMT"/>
          <w:sz w:val="20"/>
          <w:szCs w:val="20"/>
          <w:lang w:eastAsia="en-US"/>
        </w:rPr>
        <w:t>Hainline</w:t>
      </w:r>
      <w:proofErr w:type="spellEnd"/>
      <w:r w:rsidRPr="00380ED0">
        <w:rPr>
          <w:rFonts w:asciiTheme="majorHAnsi" w:eastAsia="Times New Roman" w:hAnsiTheme="majorHAnsi" w:cs="ArialMT"/>
          <w:sz w:val="20"/>
          <w:szCs w:val="20"/>
          <w:lang w:eastAsia="en-US"/>
        </w:rPr>
        <w:t xml:space="preserve"> BE. </w:t>
      </w:r>
      <w:proofErr w:type="spellStart"/>
      <w:proofErr w:type="gramStart"/>
      <w:r w:rsidRPr="00380ED0">
        <w:rPr>
          <w:rFonts w:asciiTheme="majorHAnsi" w:eastAsia="Times New Roman" w:hAnsiTheme="majorHAnsi" w:cs="ArialMT"/>
          <w:sz w:val="20"/>
          <w:szCs w:val="20"/>
          <w:lang w:eastAsia="en-US"/>
        </w:rPr>
        <w:t>Hyperammonemia</w:t>
      </w:r>
      <w:proofErr w:type="spellEnd"/>
      <w:r w:rsidRPr="00380ED0">
        <w:rPr>
          <w:rFonts w:asciiTheme="majorHAnsi" w:eastAsia="Times New Roman" w:hAnsiTheme="majorHAnsi" w:cs="ArialMT"/>
          <w:sz w:val="20"/>
          <w:szCs w:val="20"/>
          <w:lang w:eastAsia="en-US"/>
        </w:rPr>
        <w:t xml:space="preserve"> in the ICU.</w:t>
      </w:r>
      <w:proofErr w:type="gramEnd"/>
      <w:r w:rsidRPr="00380ED0">
        <w:rPr>
          <w:rFonts w:asciiTheme="majorHAnsi" w:eastAsia="Times New Roman" w:hAnsiTheme="majorHAnsi" w:cs="ArialMT"/>
          <w:sz w:val="20"/>
          <w:szCs w:val="20"/>
          <w:lang w:eastAsia="en-US"/>
        </w:rPr>
        <w:t xml:space="preserve"> </w:t>
      </w:r>
      <w:proofErr w:type="gramStart"/>
      <w:r w:rsidRPr="00380ED0">
        <w:rPr>
          <w:rFonts w:asciiTheme="majorHAnsi" w:eastAsia="Times New Roman" w:hAnsiTheme="majorHAnsi" w:cs="ArialMT"/>
          <w:sz w:val="20"/>
          <w:szCs w:val="20"/>
          <w:lang w:eastAsia="en-US"/>
        </w:rPr>
        <w:t>Chest.</w:t>
      </w:r>
      <w:proofErr w:type="gramEnd"/>
      <w:r w:rsidRPr="00380ED0">
        <w:rPr>
          <w:rFonts w:asciiTheme="majorHAnsi" w:eastAsia="Times New Roman" w:hAnsiTheme="majorHAnsi" w:cs="ArialMT"/>
          <w:sz w:val="20"/>
          <w:szCs w:val="20"/>
          <w:lang w:eastAsia="en-US"/>
        </w:rPr>
        <w:t xml:space="preserve"> Oct 2007</w:t>
      </w:r>
      <w:proofErr w:type="gramStart"/>
      <w:r w:rsidRPr="00380ED0">
        <w:rPr>
          <w:rFonts w:asciiTheme="majorHAnsi" w:eastAsia="Times New Roman" w:hAnsiTheme="majorHAnsi" w:cs="ArialMT"/>
          <w:sz w:val="20"/>
          <w:szCs w:val="20"/>
          <w:lang w:eastAsia="en-US"/>
        </w:rPr>
        <w:t>;132</w:t>
      </w:r>
      <w:proofErr w:type="gramEnd"/>
      <w:r w:rsidRPr="00380ED0">
        <w:rPr>
          <w:rFonts w:asciiTheme="majorHAnsi" w:eastAsia="Times New Roman" w:hAnsiTheme="majorHAnsi" w:cs="ArialMT"/>
          <w:sz w:val="20"/>
          <w:szCs w:val="20"/>
          <w:lang w:eastAsia="en-US"/>
        </w:rPr>
        <w:t>(4):1368-78.</w:t>
      </w:r>
    </w:p>
    <w:p w:rsidR="00C20CB2" w:rsidRPr="00380ED0" w:rsidRDefault="00C20CB2" w:rsidP="00C20CB2">
      <w:pPr>
        <w:suppressAutoHyphens w:val="0"/>
        <w:autoSpaceDE w:val="0"/>
        <w:autoSpaceDN w:val="0"/>
        <w:adjustRightInd w:val="0"/>
        <w:rPr>
          <w:rFonts w:asciiTheme="majorHAnsi" w:eastAsia="Times New Roman" w:hAnsiTheme="majorHAnsi" w:cs="ArialMT"/>
          <w:sz w:val="20"/>
          <w:szCs w:val="20"/>
          <w:lang w:eastAsia="en-US"/>
        </w:rPr>
      </w:pPr>
      <w:r w:rsidRPr="00380ED0">
        <w:rPr>
          <w:rFonts w:asciiTheme="majorHAnsi" w:eastAsia="Times New Roman" w:hAnsiTheme="majorHAnsi" w:cs="ArialMT"/>
          <w:sz w:val="20"/>
          <w:szCs w:val="20"/>
          <w:lang w:eastAsia="en-US"/>
        </w:rPr>
        <w:t xml:space="preserve">3.U-King-Im JM, Yu E, Bartlett E, </w:t>
      </w:r>
      <w:proofErr w:type="spellStart"/>
      <w:r w:rsidRPr="00380ED0">
        <w:rPr>
          <w:rFonts w:asciiTheme="majorHAnsi" w:eastAsia="Times New Roman" w:hAnsiTheme="majorHAnsi" w:cs="ArialMT"/>
          <w:sz w:val="20"/>
          <w:szCs w:val="20"/>
          <w:lang w:eastAsia="en-US"/>
        </w:rPr>
        <w:t>Soobrah</w:t>
      </w:r>
      <w:proofErr w:type="spellEnd"/>
      <w:r w:rsidRPr="00380ED0">
        <w:rPr>
          <w:rFonts w:asciiTheme="majorHAnsi" w:eastAsia="Times New Roman" w:hAnsiTheme="majorHAnsi" w:cs="ArialMT"/>
          <w:sz w:val="20"/>
          <w:szCs w:val="20"/>
          <w:lang w:eastAsia="en-US"/>
        </w:rPr>
        <w:t xml:space="preserve"> R, </w:t>
      </w:r>
      <w:proofErr w:type="spellStart"/>
      <w:r w:rsidRPr="00380ED0">
        <w:rPr>
          <w:rFonts w:asciiTheme="majorHAnsi" w:eastAsia="Times New Roman" w:hAnsiTheme="majorHAnsi" w:cs="ArialMT"/>
          <w:sz w:val="20"/>
          <w:szCs w:val="20"/>
          <w:lang w:eastAsia="en-US"/>
        </w:rPr>
        <w:t>Kucharczyk</w:t>
      </w:r>
      <w:proofErr w:type="spellEnd"/>
      <w:r w:rsidRPr="00380ED0">
        <w:rPr>
          <w:rFonts w:asciiTheme="majorHAnsi" w:eastAsia="Times New Roman" w:hAnsiTheme="majorHAnsi" w:cs="ArialMT"/>
          <w:sz w:val="20"/>
          <w:szCs w:val="20"/>
          <w:lang w:eastAsia="en-US"/>
        </w:rPr>
        <w:t xml:space="preserve"> W. Acute </w:t>
      </w:r>
      <w:proofErr w:type="spellStart"/>
      <w:r w:rsidRPr="00380ED0">
        <w:rPr>
          <w:rFonts w:asciiTheme="majorHAnsi" w:eastAsia="Times New Roman" w:hAnsiTheme="majorHAnsi" w:cs="ArialMT"/>
          <w:sz w:val="20"/>
          <w:szCs w:val="20"/>
          <w:lang w:eastAsia="en-US"/>
        </w:rPr>
        <w:t>hyperammonemic</w:t>
      </w:r>
      <w:proofErr w:type="spellEnd"/>
      <w:r w:rsidRPr="00380ED0">
        <w:rPr>
          <w:rFonts w:asciiTheme="majorHAnsi" w:eastAsia="Times New Roman" w:hAnsiTheme="majorHAnsi" w:cs="ArialMT"/>
          <w:sz w:val="20"/>
          <w:szCs w:val="20"/>
          <w:lang w:eastAsia="en-US"/>
        </w:rPr>
        <w:t xml:space="preserve"> encephalopathy in</w:t>
      </w:r>
    </w:p>
    <w:p w:rsidR="00C20CB2" w:rsidRPr="00380ED0" w:rsidRDefault="00C20CB2" w:rsidP="00C20CB2">
      <w:pPr>
        <w:suppressAutoHyphens w:val="0"/>
        <w:autoSpaceDE w:val="0"/>
        <w:autoSpaceDN w:val="0"/>
        <w:adjustRightInd w:val="0"/>
        <w:rPr>
          <w:rFonts w:asciiTheme="majorHAnsi" w:eastAsia="Times New Roman" w:hAnsiTheme="majorHAnsi" w:cs="ArialMT"/>
          <w:sz w:val="20"/>
          <w:szCs w:val="20"/>
          <w:lang w:eastAsia="en-US"/>
        </w:rPr>
      </w:pPr>
      <w:proofErr w:type="gramStart"/>
      <w:r w:rsidRPr="00380ED0">
        <w:rPr>
          <w:rFonts w:asciiTheme="majorHAnsi" w:eastAsia="Times New Roman" w:hAnsiTheme="majorHAnsi" w:cs="ArialMT"/>
          <w:sz w:val="20"/>
          <w:szCs w:val="20"/>
          <w:lang w:eastAsia="en-US"/>
        </w:rPr>
        <w:t>adults</w:t>
      </w:r>
      <w:proofErr w:type="gramEnd"/>
      <w:r w:rsidRPr="00380ED0">
        <w:rPr>
          <w:rFonts w:asciiTheme="majorHAnsi" w:eastAsia="Times New Roman" w:hAnsiTheme="majorHAnsi" w:cs="ArialMT"/>
          <w:sz w:val="20"/>
          <w:szCs w:val="20"/>
          <w:lang w:eastAsia="en-US"/>
        </w:rPr>
        <w:t xml:space="preserve">: Imaging findings. </w:t>
      </w:r>
      <w:proofErr w:type="gramStart"/>
      <w:r w:rsidRPr="00380ED0">
        <w:rPr>
          <w:rFonts w:asciiTheme="majorHAnsi" w:eastAsia="Times New Roman" w:hAnsiTheme="majorHAnsi" w:cs="ArialMT"/>
          <w:sz w:val="20"/>
          <w:szCs w:val="20"/>
          <w:lang w:eastAsia="en-US"/>
        </w:rPr>
        <w:t>AJNR.</w:t>
      </w:r>
      <w:proofErr w:type="gramEnd"/>
      <w:r w:rsidRPr="00380ED0">
        <w:rPr>
          <w:rFonts w:asciiTheme="majorHAnsi" w:eastAsia="Times New Roman" w:hAnsiTheme="majorHAnsi" w:cs="ArialMT"/>
          <w:sz w:val="20"/>
          <w:szCs w:val="20"/>
          <w:lang w:eastAsia="en-US"/>
        </w:rPr>
        <w:t xml:space="preserve"> Feb 2011</w:t>
      </w:r>
      <w:proofErr w:type="gramStart"/>
      <w:r w:rsidRPr="00380ED0">
        <w:rPr>
          <w:rFonts w:asciiTheme="majorHAnsi" w:eastAsia="Times New Roman" w:hAnsiTheme="majorHAnsi" w:cs="ArialMT"/>
          <w:sz w:val="20"/>
          <w:szCs w:val="20"/>
          <w:lang w:eastAsia="en-US"/>
        </w:rPr>
        <w:t>;32:413</w:t>
      </w:r>
      <w:proofErr w:type="gramEnd"/>
      <w:r w:rsidRPr="00380ED0">
        <w:rPr>
          <w:rFonts w:asciiTheme="majorHAnsi" w:eastAsia="Times New Roman" w:hAnsiTheme="majorHAnsi" w:cs="ArialMT"/>
          <w:sz w:val="20"/>
          <w:szCs w:val="20"/>
          <w:lang w:eastAsia="en-US"/>
        </w:rPr>
        <w:t>-18.</w:t>
      </w:r>
    </w:p>
    <w:p w:rsidR="00C20CB2" w:rsidRPr="00380ED0" w:rsidRDefault="00C20CB2" w:rsidP="00C20CB2">
      <w:pPr>
        <w:suppressAutoHyphens w:val="0"/>
        <w:autoSpaceDE w:val="0"/>
        <w:autoSpaceDN w:val="0"/>
        <w:adjustRightInd w:val="0"/>
        <w:rPr>
          <w:rFonts w:asciiTheme="majorHAnsi" w:eastAsia="Times New Roman" w:hAnsiTheme="majorHAnsi" w:cs="ArialMT"/>
          <w:sz w:val="20"/>
          <w:szCs w:val="20"/>
          <w:lang w:eastAsia="en-US"/>
        </w:rPr>
      </w:pPr>
      <w:proofErr w:type="gramStart"/>
      <w:r w:rsidRPr="00380ED0">
        <w:rPr>
          <w:rFonts w:asciiTheme="majorHAnsi" w:eastAsia="Times New Roman" w:hAnsiTheme="majorHAnsi" w:cs="ArialMT"/>
          <w:sz w:val="20"/>
          <w:szCs w:val="20"/>
          <w:lang w:eastAsia="en-US"/>
        </w:rPr>
        <w:t>4.Bachmann</w:t>
      </w:r>
      <w:proofErr w:type="gramEnd"/>
      <w:r w:rsidRPr="00380ED0">
        <w:rPr>
          <w:rFonts w:asciiTheme="majorHAnsi" w:eastAsia="Times New Roman" w:hAnsiTheme="majorHAnsi" w:cs="ArialMT"/>
          <w:sz w:val="20"/>
          <w:szCs w:val="20"/>
          <w:lang w:eastAsia="en-US"/>
        </w:rPr>
        <w:t xml:space="preserve"> C &amp; Colombo JP. Diagnostic value of </w:t>
      </w:r>
      <w:proofErr w:type="spellStart"/>
      <w:r w:rsidRPr="00380ED0">
        <w:rPr>
          <w:rFonts w:asciiTheme="majorHAnsi" w:eastAsia="Times New Roman" w:hAnsiTheme="majorHAnsi" w:cs="ArialMT"/>
          <w:sz w:val="20"/>
          <w:szCs w:val="20"/>
          <w:lang w:eastAsia="en-US"/>
        </w:rPr>
        <w:t>orotic</w:t>
      </w:r>
      <w:proofErr w:type="spellEnd"/>
      <w:r w:rsidRPr="00380ED0">
        <w:rPr>
          <w:rFonts w:asciiTheme="majorHAnsi" w:eastAsia="Times New Roman" w:hAnsiTheme="majorHAnsi" w:cs="ArialMT"/>
          <w:sz w:val="20"/>
          <w:szCs w:val="20"/>
          <w:lang w:eastAsia="en-US"/>
        </w:rPr>
        <w:t xml:space="preserve"> acid excretion in heritable disorders of the urea</w:t>
      </w:r>
    </w:p>
    <w:p w:rsidR="00C20CB2" w:rsidRPr="00380ED0" w:rsidRDefault="00C20CB2" w:rsidP="00C20CB2">
      <w:pPr>
        <w:suppressAutoHyphens w:val="0"/>
        <w:autoSpaceDE w:val="0"/>
        <w:autoSpaceDN w:val="0"/>
        <w:adjustRightInd w:val="0"/>
        <w:rPr>
          <w:rFonts w:asciiTheme="majorHAnsi" w:eastAsia="Times New Roman" w:hAnsiTheme="majorHAnsi" w:cs="ArialMT"/>
          <w:sz w:val="20"/>
          <w:szCs w:val="20"/>
          <w:lang w:eastAsia="en-US"/>
        </w:rPr>
      </w:pPr>
      <w:proofErr w:type="gramStart"/>
      <w:r w:rsidRPr="00380ED0">
        <w:rPr>
          <w:rFonts w:asciiTheme="majorHAnsi" w:eastAsia="Times New Roman" w:hAnsiTheme="majorHAnsi" w:cs="ArialMT"/>
          <w:sz w:val="20"/>
          <w:szCs w:val="20"/>
          <w:lang w:eastAsia="en-US"/>
        </w:rPr>
        <w:t>cycle</w:t>
      </w:r>
      <w:proofErr w:type="gramEnd"/>
      <w:r w:rsidRPr="00380ED0">
        <w:rPr>
          <w:rFonts w:asciiTheme="majorHAnsi" w:eastAsia="Times New Roman" w:hAnsiTheme="majorHAnsi" w:cs="ArialMT"/>
          <w:sz w:val="20"/>
          <w:szCs w:val="20"/>
          <w:lang w:eastAsia="en-US"/>
        </w:rPr>
        <w:t xml:space="preserve"> and in </w:t>
      </w:r>
      <w:proofErr w:type="spellStart"/>
      <w:r w:rsidRPr="00380ED0">
        <w:rPr>
          <w:rFonts w:asciiTheme="majorHAnsi" w:eastAsia="Times New Roman" w:hAnsiTheme="majorHAnsi" w:cs="ArialMT"/>
          <w:sz w:val="20"/>
          <w:szCs w:val="20"/>
          <w:lang w:eastAsia="en-US"/>
        </w:rPr>
        <w:t>hyperammonemia</w:t>
      </w:r>
      <w:proofErr w:type="spellEnd"/>
      <w:r w:rsidRPr="00380ED0">
        <w:rPr>
          <w:rFonts w:asciiTheme="majorHAnsi" w:eastAsia="Times New Roman" w:hAnsiTheme="majorHAnsi" w:cs="ArialMT"/>
          <w:sz w:val="20"/>
          <w:szCs w:val="20"/>
          <w:lang w:eastAsia="en-US"/>
        </w:rPr>
        <w:t xml:space="preserve"> due to organic </w:t>
      </w:r>
      <w:proofErr w:type="spellStart"/>
      <w:r w:rsidRPr="00380ED0">
        <w:rPr>
          <w:rFonts w:asciiTheme="majorHAnsi" w:eastAsia="Times New Roman" w:hAnsiTheme="majorHAnsi" w:cs="ArialMT"/>
          <w:sz w:val="20"/>
          <w:szCs w:val="20"/>
          <w:lang w:eastAsia="en-US"/>
        </w:rPr>
        <w:t>acidurias</w:t>
      </w:r>
      <w:proofErr w:type="spellEnd"/>
      <w:r w:rsidRPr="00380ED0">
        <w:rPr>
          <w:rFonts w:asciiTheme="majorHAnsi" w:eastAsia="Times New Roman" w:hAnsiTheme="majorHAnsi" w:cs="ArialMT"/>
          <w:sz w:val="20"/>
          <w:szCs w:val="20"/>
          <w:lang w:eastAsia="en-US"/>
        </w:rPr>
        <w:t xml:space="preserve">. </w:t>
      </w:r>
      <w:proofErr w:type="spellStart"/>
      <w:r w:rsidRPr="00380ED0">
        <w:rPr>
          <w:rFonts w:asciiTheme="majorHAnsi" w:eastAsia="Times New Roman" w:hAnsiTheme="majorHAnsi" w:cs="ArialMT"/>
          <w:sz w:val="20"/>
          <w:szCs w:val="20"/>
          <w:lang w:eastAsia="en-US"/>
        </w:rPr>
        <w:t>Eur</w:t>
      </w:r>
      <w:proofErr w:type="spellEnd"/>
      <w:r w:rsidRPr="00380ED0">
        <w:rPr>
          <w:rFonts w:asciiTheme="majorHAnsi" w:eastAsia="Times New Roman" w:hAnsiTheme="majorHAnsi" w:cs="ArialMT"/>
          <w:sz w:val="20"/>
          <w:szCs w:val="20"/>
          <w:lang w:eastAsia="en-US"/>
        </w:rPr>
        <w:t xml:space="preserve"> J </w:t>
      </w:r>
      <w:proofErr w:type="spellStart"/>
      <w:r w:rsidRPr="00380ED0">
        <w:rPr>
          <w:rFonts w:asciiTheme="majorHAnsi" w:eastAsia="Times New Roman" w:hAnsiTheme="majorHAnsi" w:cs="ArialMT"/>
          <w:sz w:val="20"/>
          <w:szCs w:val="20"/>
          <w:lang w:eastAsia="en-US"/>
        </w:rPr>
        <w:t>Pediatr</w:t>
      </w:r>
      <w:proofErr w:type="spellEnd"/>
      <w:r w:rsidRPr="00380ED0">
        <w:rPr>
          <w:rFonts w:asciiTheme="majorHAnsi" w:eastAsia="Times New Roman" w:hAnsiTheme="majorHAnsi" w:cs="ArialMT"/>
          <w:sz w:val="20"/>
          <w:szCs w:val="20"/>
          <w:lang w:eastAsia="en-US"/>
        </w:rPr>
        <w:t>. 1980</w:t>
      </w:r>
      <w:proofErr w:type="gramStart"/>
      <w:r w:rsidRPr="00380ED0">
        <w:rPr>
          <w:rFonts w:asciiTheme="majorHAnsi" w:eastAsia="Times New Roman" w:hAnsiTheme="majorHAnsi" w:cs="ArialMT"/>
          <w:sz w:val="20"/>
          <w:szCs w:val="20"/>
          <w:lang w:eastAsia="en-US"/>
        </w:rPr>
        <w:t>;134:109</w:t>
      </w:r>
      <w:proofErr w:type="gramEnd"/>
      <w:r w:rsidRPr="00380ED0">
        <w:rPr>
          <w:rFonts w:asciiTheme="majorHAnsi" w:eastAsia="Times New Roman" w:hAnsiTheme="majorHAnsi" w:cs="ArialMT"/>
          <w:sz w:val="20"/>
          <w:szCs w:val="20"/>
          <w:lang w:eastAsia="en-US"/>
        </w:rPr>
        <w:t>-113.</w:t>
      </w:r>
    </w:p>
    <w:p w:rsidR="00C20CB2" w:rsidRPr="00380ED0" w:rsidRDefault="00C20CB2" w:rsidP="00C20CB2">
      <w:pPr>
        <w:suppressAutoHyphens w:val="0"/>
        <w:autoSpaceDE w:val="0"/>
        <w:autoSpaceDN w:val="0"/>
        <w:adjustRightInd w:val="0"/>
        <w:rPr>
          <w:rFonts w:asciiTheme="majorHAnsi" w:eastAsia="Times New Roman" w:hAnsiTheme="majorHAnsi" w:cs="ArialMT"/>
          <w:sz w:val="20"/>
          <w:szCs w:val="20"/>
          <w:lang w:eastAsia="en-US"/>
        </w:rPr>
      </w:pPr>
      <w:proofErr w:type="gramStart"/>
      <w:r w:rsidRPr="00380ED0">
        <w:rPr>
          <w:rFonts w:asciiTheme="majorHAnsi" w:eastAsia="Times New Roman" w:hAnsiTheme="majorHAnsi" w:cs="ArialMT"/>
          <w:sz w:val="20"/>
          <w:szCs w:val="20"/>
          <w:lang w:eastAsia="en-US"/>
        </w:rPr>
        <w:t>5.Takeoka</w:t>
      </w:r>
      <w:proofErr w:type="gramEnd"/>
      <w:r w:rsidRPr="00380ED0">
        <w:rPr>
          <w:rFonts w:asciiTheme="majorHAnsi" w:eastAsia="Times New Roman" w:hAnsiTheme="majorHAnsi" w:cs="ArialMT"/>
          <w:sz w:val="20"/>
          <w:szCs w:val="20"/>
          <w:lang w:eastAsia="en-US"/>
        </w:rPr>
        <w:t xml:space="preserve"> M, </w:t>
      </w:r>
      <w:proofErr w:type="spellStart"/>
      <w:r w:rsidRPr="00380ED0">
        <w:rPr>
          <w:rFonts w:asciiTheme="majorHAnsi" w:eastAsia="Times New Roman" w:hAnsiTheme="majorHAnsi" w:cs="ArialMT"/>
          <w:sz w:val="20"/>
          <w:szCs w:val="20"/>
          <w:lang w:eastAsia="en-US"/>
        </w:rPr>
        <w:t>Soman</w:t>
      </w:r>
      <w:proofErr w:type="spellEnd"/>
      <w:r w:rsidRPr="00380ED0">
        <w:rPr>
          <w:rFonts w:asciiTheme="majorHAnsi" w:eastAsia="Times New Roman" w:hAnsiTheme="majorHAnsi" w:cs="ArialMT"/>
          <w:sz w:val="20"/>
          <w:szCs w:val="20"/>
          <w:lang w:eastAsia="en-US"/>
        </w:rPr>
        <w:t xml:space="preserve"> TB, Shih VE, </w:t>
      </w:r>
      <w:proofErr w:type="spellStart"/>
      <w:r w:rsidRPr="00380ED0">
        <w:rPr>
          <w:rFonts w:asciiTheme="majorHAnsi" w:eastAsia="Times New Roman" w:hAnsiTheme="majorHAnsi" w:cs="ArialMT"/>
          <w:sz w:val="20"/>
          <w:szCs w:val="20"/>
          <w:lang w:eastAsia="en-US"/>
        </w:rPr>
        <w:t>Caviness</w:t>
      </w:r>
      <w:proofErr w:type="spellEnd"/>
      <w:r w:rsidRPr="00380ED0">
        <w:rPr>
          <w:rFonts w:asciiTheme="majorHAnsi" w:eastAsia="Times New Roman" w:hAnsiTheme="majorHAnsi" w:cs="ArialMT"/>
          <w:sz w:val="20"/>
          <w:szCs w:val="20"/>
          <w:lang w:eastAsia="en-US"/>
        </w:rPr>
        <w:t xml:space="preserve"> VS </w:t>
      </w:r>
      <w:proofErr w:type="spellStart"/>
      <w:r w:rsidRPr="00380ED0">
        <w:rPr>
          <w:rFonts w:asciiTheme="majorHAnsi" w:eastAsia="Times New Roman" w:hAnsiTheme="majorHAnsi" w:cs="ArialMT"/>
          <w:sz w:val="20"/>
          <w:szCs w:val="20"/>
          <w:lang w:eastAsia="en-US"/>
        </w:rPr>
        <w:t>Jr</w:t>
      </w:r>
      <w:proofErr w:type="spellEnd"/>
      <w:r w:rsidRPr="00380ED0">
        <w:rPr>
          <w:rFonts w:asciiTheme="majorHAnsi" w:eastAsia="Times New Roman" w:hAnsiTheme="majorHAnsi" w:cs="ArialMT"/>
          <w:sz w:val="20"/>
          <w:szCs w:val="20"/>
          <w:lang w:eastAsia="en-US"/>
        </w:rPr>
        <w:t xml:space="preserve">, </w:t>
      </w:r>
      <w:proofErr w:type="spellStart"/>
      <w:r w:rsidRPr="00380ED0">
        <w:rPr>
          <w:rFonts w:asciiTheme="majorHAnsi" w:eastAsia="Times New Roman" w:hAnsiTheme="majorHAnsi" w:cs="ArialMT"/>
          <w:sz w:val="20"/>
          <w:szCs w:val="20"/>
          <w:lang w:eastAsia="en-US"/>
        </w:rPr>
        <w:t>Krishnamoorthy</w:t>
      </w:r>
      <w:proofErr w:type="spellEnd"/>
      <w:r w:rsidRPr="00380ED0">
        <w:rPr>
          <w:rFonts w:asciiTheme="majorHAnsi" w:eastAsia="Times New Roman" w:hAnsiTheme="majorHAnsi" w:cs="ArialMT"/>
          <w:sz w:val="20"/>
          <w:szCs w:val="20"/>
          <w:lang w:eastAsia="en-US"/>
        </w:rPr>
        <w:t xml:space="preserve"> KS. </w:t>
      </w:r>
      <w:proofErr w:type="spellStart"/>
      <w:r w:rsidRPr="00380ED0">
        <w:rPr>
          <w:rFonts w:asciiTheme="majorHAnsi" w:eastAsia="Times New Roman" w:hAnsiTheme="majorHAnsi" w:cs="ArialMT"/>
          <w:sz w:val="20"/>
          <w:szCs w:val="20"/>
          <w:lang w:eastAsia="en-US"/>
        </w:rPr>
        <w:t>Carbamyl</w:t>
      </w:r>
      <w:proofErr w:type="spellEnd"/>
      <w:r w:rsidRPr="00380ED0">
        <w:rPr>
          <w:rFonts w:asciiTheme="majorHAnsi" w:eastAsia="Times New Roman" w:hAnsiTheme="majorHAnsi" w:cs="ArialMT"/>
          <w:sz w:val="20"/>
          <w:szCs w:val="20"/>
          <w:lang w:eastAsia="en-US"/>
        </w:rPr>
        <w:t xml:space="preserve"> phosphate </w:t>
      </w:r>
      <w:proofErr w:type="spellStart"/>
      <w:r w:rsidRPr="00380ED0">
        <w:rPr>
          <w:rFonts w:asciiTheme="majorHAnsi" w:eastAsia="Times New Roman" w:hAnsiTheme="majorHAnsi" w:cs="ArialMT"/>
          <w:sz w:val="20"/>
          <w:szCs w:val="20"/>
          <w:lang w:eastAsia="en-US"/>
        </w:rPr>
        <w:t>synthetase</w:t>
      </w:r>
      <w:proofErr w:type="spellEnd"/>
    </w:p>
    <w:p w:rsidR="00C20CB2" w:rsidRPr="00380ED0" w:rsidRDefault="00C20CB2" w:rsidP="00C20CB2">
      <w:pPr>
        <w:suppressAutoHyphens w:val="0"/>
        <w:autoSpaceDE w:val="0"/>
        <w:autoSpaceDN w:val="0"/>
        <w:adjustRightInd w:val="0"/>
        <w:rPr>
          <w:rFonts w:asciiTheme="majorHAnsi" w:eastAsia="Times New Roman" w:hAnsiTheme="majorHAnsi" w:cs="ArialMT"/>
          <w:sz w:val="20"/>
          <w:szCs w:val="20"/>
          <w:lang w:eastAsia="en-US"/>
        </w:rPr>
      </w:pPr>
      <w:r w:rsidRPr="00380ED0">
        <w:rPr>
          <w:rFonts w:asciiTheme="majorHAnsi" w:eastAsia="Times New Roman" w:hAnsiTheme="majorHAnsi" w:cs="ArialMT"/>
          <w:sz w:val="20"/>
          <w:szCs w:val="20"/>
          <w:lang w:eastAsia="en-US"/>
        </w:rPr>
        <w:t xml:space="preserve">1 deficiency: A destructive encephalopathy. </w:t>
      </w:r>
      <w:proofErr w:type="spellStart"/>
      <w:r w:rsidRPr="00380ED0">
        <w:rPr>
          <w:rFonts w:asciiTheme="majorHAnsi" w:eastAsia="Times New Roman" w:hAnsiTheme="majorHAnsi" w:cs="ArialMT"/>
          <w:sz w:val="20"/>
          <w:szCs w:val="20"/>
          <w:lang w:eastAsia="en-US"/>
        </w:rPr>
        <w:t>Pediatr</w:t>
      </w:r>
      <w:proofErr w:type="spellEnd"/>
      <w:r w:rsidRPr="00380ED0">
        <w:rPr>
          <w:rFonts w:asciiTheme="majorHAnsi" w:eastAsia="Times New Roman" w:hAnsiTheme="majorHAnsi" w:cs="ArialMT"/>
          <w:sz w:val="20"/>
          <w:szCs w:val="20"/>
          <w:lang w:eastAsia="en-US"/>
        </w:rPr>
        <w:t xml:space="preserve"> Neurol. 2001 Mar</w:t>
      </w:r>
      <w:proofErr w:type="gramStart"/>
      <w:r w:rsidRPr="00380ED0">
        <w:rPr>
          <w:rFonts w:asciiTheme="majorHAnsi" w:eastAsia="Times New Roman" w:hAnsiTheme="majorHAnsi" w:cs="ArialMT"/>
          <w:sz w:val="20"/>
          <w:szCs w:val="20"/>
          <w:lang w:eastAsia="en-US"/>
        </w:rPr>
        <w:t>;24</w:t>
      </w:r>
      <w:proofErr w:type="gramEnd"/>
      <w:r w:rsidRPr="00380ED0">
        <w:rPr>
          <w:rFonts w:asciiTheme="majorHAnsi" w:eastAsia="Times New Roman" w:hAnsiTheme="majorHAnsi" w:cs="ArialMT"/>
          <w:sz w:val="20"/>
          <w:szCs w:val="20"/>
          <w:lang w:eastAsia="en-US"/>
        </w:rPr>
        <w:t>(3):193-9.</w:t>
      </w:r>
    </w:p>
    <w:p w:rsidR="00C20CB2" w:rsidRPr="00380ED0" w:rsidRDefault="00C20CB2" w:rsidP="00C20CB2">
      <w:pPr>
        <w:suppressAutoHyphens w:val="0"/>
        <w:autoSpaceDE w:val="0"/>
        <w:autoSpaceDN w:val="0"/>
        <w:adjustRightInd w:val="0"/>
        <w:rPr>
          <w:rFonts w:asciiTheme="majorHAnsi" w:eastAsia="Times New Roman" w:hAnsiTheme="majorHAnsi" w:cs="ArialMT"/>
          <w:sz w:val="20"/>
          <w:szCs w:val="20"/>
          <w:lang w:eastAsia="en-US"/>
        </w:rPr>
      </w:pPr>
      <w:r w:rsidRPr="00380ED0">
        <w:rPr>
          <w:rFonts w:asciiTheme="majorHAnsi" w:eastAsia="Times New Roman" w:hAnsiTheme="majorHAnsi" w:cs="ArialMT"/>
          <w:sz w:val="20"/>
          <w:szCs w:val="20"/>
          <w:lang w:eastAsia="en-US"/>
        </w:rPr>
        <w:t xml:space="preserve">6.Enns GM, Berry SA, Berry GT, </w:t>
      </w:r>
      <w:proofErr w:type="spellStart"/>
      <w:r w:rsidRPr="00380ED0">
        <w:rPr>
          <w:rFonts w:asciiTheme="majorHAnsi" w:eastAsia="Times New Roman" w:hAnsiTheme="majorHAnsi" w:cs="ArialMT"/>
          <w:sz w:val="20"/>
          <w:szCs w:val="20"/>
          <w:lang w:eastAsia="en-US"/>
        </w:rPr>
        <w:t>Rhead</w:t>
      </w:r>
      <w:proofErr w:type="spellEnd"/>
      <w:r w:rsidRPr="00380ED0">
        <w:rPr>
          <w:rFonts w:asciiTheme="majorHAnsi" w:eastAsia="Times New Roman" w:hAnsiTheme="majorHAnsi" w:cs="ArialMT"/>
          <w:sz w:val="20"/>
          <w:szCs w:val="20"/>
          <w:lang w:eastAsia="en-US"/>
        </w:rPr>
        <w:t xml:space="preserve"> WJ, </w:t>
      </w:r>
      <w:proofErr w:type="spellStart"/>
      <w:r w:rsidRPr="00380ED0">
        <w:rPr>
          <w:rFonts w:asciiTheme="majorHAnsi" w:eastAsia="Times New Roman" w:hAnsiTheme="majorHAnsi" w:cs="ArialMT"/>
          <w:sz w:val="20"/>
          <w:szCs w:val="20"/>
          <w:lang w:eastAsia="en-US"/>
        </w:rPr>
        <w:t>Brusilow</w:t>
      </w:r>
      <w:proofErr w:type="spellEnd"/>
      <w:r w:rsidRPr="00380ED0">
        <w:rPr>
          <w:rFonts w:asciiTheme="majorHAnsi" w:eastAsia="Times New Roman" w:hAnsiTheme="majorHAnsi" w:cs="ArialMT"/>
          <w:sz w:val="20"/>
          <w:szCs w:val="20"/>
          <w:lang w:eastAsia="en-US"/>
        </w:rPr>
        <w:t xml:space="preserve"> SW, </w:t>
      </w:r>
      <w:proofErr w:type="spellStart"/>
      <w:r w:rsidRPr="00380ED0">
        <w:rPr>
          <w:rFonts w:asciiTheme="majorHAnsi" w:eastAsia="Times New Roman" w:hAnsiTheme="majorHAnsi" w:cs="ArialMT"/>
          <w:sz w:val="20"/>
          <w:szCs w:val="20"/>
          <w:lang w:eastAsia="en-US"/>
        </w:rPr>
        <w:t>Hamosh</w:t>
      </w:r>
      <w:proofErr w:type="spellEnd"/>
      <w:r w:rsidRPr="00380ED0">
        <w:rPr>
          <w:rFonts w:asciiTheme="majorHAnsi" w:eastAsia="Times New Roman" w:hAnsiTheme="majorHAnsi" w:cs="ArialMT"/>
          <w:sz w:val="20"/>
          <w:szCs w:val="20"/>
          <w:lang w:eastAsia="en-US"/>
        </w:rPr>
        <w:t xml:space="preserve"> A. Survival after treatment with</w:t>
      </w:r>
    </w:p>
    <w:p w:rsidR="00C20CB2" w:rsidRPr="00380ED0" w:rsidRDefault="00C20CB2" w:rsidP="00C20CB2">
      <w:pPr>
        <w:suppressAutoHyphens w:val="0"/>
        <w:autoSpaceDE w:val="0"/>
        <w:autoSpaceDN w:val="0"/>
        <w:adjustRightInd w:val="0"/>
        <w:rPr>
          <w:rFonts w:asciiTheme="majorHAnsi" w:eastAsia="Times New Roman" w:hAnsiTheme="majorHAnsi" w:cs="ArialMT"/>
          <w:sz w:val="20"/>
          <w:szCs w:val="20"/>
          <w:lang w:eastAsia="en-US"/>
        </w:rPr>
      </w:pPr>
      <w:proofErr w:type="spellStart"/>
      <w:proofErr w:type="gramStart"/>
      <w:r w:rsidRPr="00380ED0">
        <w:rPr>
          <w:rFonts w:asciiTheme="majorHAnsi" w:eastAsia="Times New Roman" w:hAnsiTheme="majorHAnsi" w:cs="ArialMT"/>
          <w:sz w:val="20"/>
          <w:szCs w:val="20"/>
          <w:lang w:eastAsia="en-US"/>
        </w:rPr>
        <w:t>phenylacetate</w:t>
      </w:r>
      <w:proofErr w:type="spellEnd"/>
      <w:proofErr w:type="gramEnd"/>
      <w:r w:rsidRPr="00380ED0">
        <w:rPr>
          <w:rFonts w:asciiTheme="majorHAnsi" w:eastAsia="Times New Roman" w:hAnsiTheme="majorHAnsi" w:cs="ArialMT"/>
          <w:sz w:val="20"/>
          <w:szCs w:val="20"/>
          <w:lang w:eastAsia="en-US"/>
        </w:rPr>
        <w:t xml:space="preserve"> and benzoate for urea-cycle disorders. N </w:t>
      </w:r>
      <w:proofErr w:type="spellStart"/>
      <w:r w:rsidRPr="00380ED0">
        <w:rPr>
          <w:rFonts w:asciiTheme="majorHAnsi" w:eastAsia="Times New Roman" w:hAnsiTheme="majorHAnsi" w:cs="ArialMT"/>
          <w:sz w:val="20"/>
          <w:szCs w:val="20"/>
          <w:lang w:eastAsia="en-US"/>
        </w:rPr>
        <w:t>Engl</w:t>
      </w:r>
      <w:proofErr w:type="spellEnd"/>
      <w:r w:rsidRPr="00380ED0">
        <w:rPr>
          <w:rFonts w:asciiTheme="majorHAnsi" w:eastAsia="Times New Roman" w:hAnsiTheme="majorHAnsi" w:cs="ArialMT"/>
          <w:sz w:val="20"/>
          <w:szCs w:val="20"/>
          <w:lang w:eastAsia="en-US"/>
        </w:rPr>
        <w:t xml:space="preserve"> J Med. May 2007</w:t>
      </w:r>
      <w:proofErr w:type="gramStart"/>
      <w:r w:rsidRPr="00380ED0">
        <w:rPr>
          <w:rFonts w:asciiTheme="majorHAnsi" w:eastAsia="Times New Roman" w:hAnsiTheme="majorHAnsi" w:cs="ArialMT"/>
          <w:sz w:val="20"/>
          <w:szCs w:val="20"/>
          <w:lang w:eastAsia="en-US"/>
        </w:rPr>
        <w:t>;356</w:t>
      </w:r>
      <w:proofErr w:type="gramEnd"/>
      <w:r w:rsidRPr="00380ED0">
        <w:rPr>
          <w:rFonts w:asciiTheme="majorHAnsi" w:eastAsia="Times New Roman" w:hAnsiTheme="majorHAnsi" w:cs="ArialMT"/>
          <w:sz w:val="20"/>
          <w:szCs w:val="20"/>
          <w:lang w:eastAsia="en-US"/>
        </w:rPr>
        <w:t>(22):2282-92.</w:t>
      </w:r>
    </w:p>
    <w:p w:rsidR="00C20CB2" w:rsidRPr="00A367D3" w:rsidRDefault="00C20CB2" w:rsidP="00C20CB2">
      <w:pPr>
        <w:rPr>
          <w:rFonts w:asciiTheme="majorHAnsi" w:eastAsia="Times New Roman" w:hAnsiTheme="majorHAnsi" w:cs="ArialMT"/>
          <w:sz w:val="20"/>
          <w:szCs w:val="20"/>
          <w:lang w:eastAsia="en-US"/>
        </w:rPr>
      </w:pPr>
      <w:proofErr w:type="gramStart"/>
      <w:r w:rsidRPr="00A367D3">
        <w:rPr>
          <w:rFonts w:asciiTheme="majorHAnsi" w:eastAsia="Times New Roman" w:hAnsiTheme="majorHAnsi" w:cs="ArialMT"/>
          <w:sz w:val="20"/>
          <w:szCs w:val="20"/>
          <w:lang w:eastAsia="en-US"/>
        </w:rPr>
        <w:t>7.Batshaw</w:t>
      </w:r>
      <w:proofErr w:type="gramEnd"/>
      <w:r w:rsidRPr="00A367D3">
        <w:rPr>
          <w:rFonts w:asciiTheme="majorHAnsi" w:eastAsia="Times New Roman" w:hAnsiTheme="majorHAnsi" w:cs="ArialMT"/>
          <w:sz w:val="20"/>
          <w:szCs w:val="20"/>
          <w:lang w:eastAsia="en-US"/>
        </w:rPr>
        <w:t xml:space="preserve"> ML &amp; Monahan PS. Treatment of urea cycle disorders. </w:t>
      </w:r>
      <w:proofErr w:type="gramStart"/>
      <w:r w:rsidRPr="00A367D3">
        <w:rPr>
          <w:rFonts w:asciiTheme="majorHAnsi" w:eastAsia="Times New Roman" w:hAnsiTheme="majorHAnsi" w:cs="ArialMT"/>
          <w:sz w:val="20"/>
          <w:szCs w:val="20"/>
          <w:lang w:eastAsia="en-US"/>
        </w:rPr>
        <w:t>Enzyme.</w:t>
      </w:r>
      <w:proofErr w:type="gramEnd"/>
      <w:r w:rsidRPr="00A367D3">
        <w:rPr>
          <w:rFonts w:asciiTheme="majorHAnsi" w:eastAsia="Times New Roman" w:hAnsiTheme="majorHAnsi" w:cs="ArialMT"/>
          <w:sz w:val="20"/>
          <w:szCs w:val="20"/>
          <w:lang w:eastAsia="en-US"/>
        </w:rPr>
        <w:t xml:space="preserve"> 1987</w:t>
      </w:r>
      <w:proofErr w:type="gramStart"/>
      <w:r w:rsidRPr="00A367D3">
        <w:rPr>
          <w:rFonts w:asciiTheme="majorHAnsi" w:eastAsia="Times New Roman" w:hAnsiTheme="majorHAnsi" w:cs="ArialMT"/>
          <w:sz w:val="20"/>
          <w:szCs w:val="20"/>
          <w:lang w:eastAsia="en-US"/>
        </w:rPr>
        <w:t>;3</w:t>
      </w:r>
      <w:proofErr w:type="gramEnd"/>
    </w:p>
    <w:p w:rsidR="00C20CB2" w:rsidRPr="00A367D3" w:rsidRDefault="00C20CB2" w:rsidP="00C20CB2">
      <w:pPr>
        <w:shd w:val="clear" w:color="auto" w:fill="FFFFFF"/>
        <w:suppressAutoHyphens w:val="0"/>
        <w:rPr>
          <w:rFonts w:asciiTheme="majorHAnsi" w:eastAsia="Times New Roman" w:hAnsiTheme="majorHAnsi" w:cs="Arial"/>
          <w:sz w:val="20"/>
          <w:szCs w:val="20"/>
          <w:lang w:eastAsia="en-US"/>
        </w:rPr>
      </w:pPr>
      <w:r w:rsidRPr="00A367D3">
        <w:rPr>
          <w:rFonts w:asciiTheme="majorHAnsi" w:eastAsia="Times New Roman" w:hAnsiTheme="majorHAnsi" w:cs="ArialMT"/>
          <w:sz w:val="20"/>
          <w:szCs w:val="20"/>
          <w:lang w:eastAsia="en-US"/>
        </w:rPr>
        <w:t xml:space="preserve">8. </w:t>
      </w:r>
      <w:proofErr w:type="spellStart"/>
      <w:r w:rsidRPr="00A367D3">
        <w:rPr>
          <w:rFonts w:asciiTheme="majorHAnsi" w:eastAsia="Times New Roman" w:hAnsiTheme="majorHAnsi" w:cs="ArialMT"/>
          <w:sz w:val="20"/>
          <w:szCs w:val="20"/>
          <w:lang w:eastAsia="en-US"/>
        </w:rPr>
        <w:t>Bega</w:t>
      </w:r>
      <w:proofErr w:type="spellEnd"/>
      <w:r w:rsidRPr="00A367D3">
        <w:rPr>
          <w:rFonts w:asciiTheme="majorHAnsi" w:eastAsia="Times New Roman" w:hAnsiTheme="majorHAnsi" w:cs="ArialMT"/>
          <w:sz w:val="20"/>
          <w:szCs w:val="20"/>
          <w:lang w:eastAsia="en-US"/>
        </w:rPr>
        <w:t xml:space="preserve"> D, </w:t>
      </w:r>
      <w:proofErr w:type="spellStart"/>
      <w:r w:rsidRPr="00A367D3">
        <w:rPr>
          <w:rFonts w:asciiTheme="majorHAnsi" w:eastAsia="Times New Roman" w:hAnsiTheme="majorHAnsi" w:cs="ArialMT"/>
          <w:sz w:val="20"/>
          <w:szCs w:val="20"/>
          <w:lang w:eastAsia="en-US"/>
        </w:rPr>
        <w:t>Vaitkevicius</w:t>
      </w:r>
      <w:proofErr w:type="spellEnd"/>
      <w:r w:rsidRPr="00A367D3">
        <w:rPr>
          <w:rFonts w:asciiTheme="majorHAnsi" w:eastAsia="Times New Roman" w:hAnsiTheme="majorHAnsi" w:cs="ArialMT"/>
          <w:sz w:val="20"/>
          <w:szCs w:val="20"/>
          <w:lang w:eastAsia="en-US"/>
        </w:rPr>
        <w:t xml:space="preserve"> H, Boland TA, Murray M, Chou SH. Fatal </w:t>
      </w:r>
      <w:proofErr w:type="spellStart"/>
      <w:r w:rsidRPr="00A367D3">
        <w:rPr>
          <w:rFonts w:asciiTheme="majorHAnsi" w:eastAsia="Times New Roman" w:hAnsiTheme="majorHAnsi" w:cs="ArialMT"/>
          <w:sz w:val="20"/>
          <w:szCs w:val="20"/>
          <w:lang w:eastAsia="en-US"/>
        </w:rPr>
        <w:t>hyperammonemic</w:t>
      </w:r>
      <w:proofErr w:type="spellEnd"/>
      <w:r w:rsidRPr="00A367D3">
        <w:rPr>
          <w:rFonts w:asciiTheme="majorHAnsi" w:eastAsia="Times New Roman" w:hAnsiTheme="majorHAnsi" w:cs="ArialMT"/>
          <w:sz w:val="20"/>
          <w:szCs w:val="20"/>
          <w:lang w:eastAsia="en-US"/>
        </w:rPr>
        <w:t xml:space="preserve"> brain injury from </w:t>
      </w:r>
      <w:proofErr w:type="spellStart"/>
      <w:r w:rsidRPr="00A367D3">
        <w:rPr>
          <w:rFonts w:asciiTheme="majorHAnsi" w:eastAsia="Times New Roman" w:hAnsiTheme="majorHAnsi" w:cs="ArialMT"/>
          <w:sz w:val="20"/>
          <w:szCs w:val="20"/>
          <w:lang w:eastAsia="en-US"/>
        </w:rPr>
        <w:t>valproic</w:t>
      </w:r>
      <w:proofErr w:type="spellEnd"/>
      <w:r w:rsidRPr="00A367D3">
        <w:rPr>
          <w:rFonts w:asciiTheme="majorHAnsi" w:eastAsia="Times New Roman" w:hAnsiTheme="majorHAnsi" w:cs="ArialMT"/>
          <w:sz w:val="20"/>
          <w:szCs w:val="20"/>
          <w:lang w:eastAsia="en-US"/>
        </w:rPr>
        <w:t xml:space="preserve"> acid exposure. </w:t>
      </w:r>
      <w:hyperlink r:id="rId13" w:tooltip="Case reports in neurology." w:history="1">
        <w:r w:rsidRPr="00A367D3">
          <w:rPr>
            <w:rFonts w:asciiTheme="majorHAnsi" w:hAnsiTheme="majorHAnsi" w:cs="Arial"/>
            <w:color w:val="2F4A8B"/>
            <w:sz w:val="20"/>
            <w:szCs w:val="20"/>
            <w:u w:val="single"/>
          </w:rPr>
          <w:t>Case Rep Neurol.</w:t>
        </w:r>
      </w:hyperlink>
      <w:r w:rsidRPr="00A367D3">
        <w:rPr>
          <w:rFonts w:asciiTheme="majorHAnsi" w:hAnsiTheme="majorHAnsi" w:cs="Arial"/>
          <w:sz w:val="20"/>
          <w:szCs w:val="20"/>
        </w:rPr>
        <w:t xml:space="preserve"> 2012 Sep</w:t>
      </w:r>
      <w:proofErr w:type="gramStart"/>
      <w:r w:rsidRPr="00A367D3">
        <w:rPr>
          <w:rFonts w:asciiTheme="majorHAnsi" w:hAnsiTheme="majorHAnsi" w:cs="Arial"/>
          <w:sz w:val="20"/>
          <w:szCs w:val="20"/>
        </w:rPr>
        <w:t>;4</w:t>
      </w:r>
      <w:proofErr w:type="gramEnd"/>
      <w:r w:rsidRPr="00A367D3">
        <w:rPr>
          <w:rFonts w:asciiTheme="majorHAnsi" w:hAnsiTheme="majorHAnsi" w:cs="Arial"/>
          <w:sz w:val="20"/>
          <w:szCs w:val="20"/>
        </w:rPr>
        <w:t xml:space="preserve">(3):224-30. </w:t>
      </w:r>
      <w:proofErr w:type="spellStart"/>
      <w:proofErr w:type="gramStart"/>
      <w:r w:rsidRPr="00A367D3">
        <w:rPr>
          <w:rFonts w:asciiTheme="majorHAnsi" w:hAnsiTheme="majorHAnsi" w:cs="Arial"/>
          <w:sz w:val="20"/>
          <w:szCs w:val="20"/>
        </w:rPr>
        <w:t>doi</w:t>
      </w:r>
      <w:proofErr w:type="spellEnd"/>
      <w:proofErr w:type="gramEnd"/>
      <w:r w:rsidRPr="00A367D3">
        <w:rPr>
          <w:rFonts w:asciiTheme="majorHAnsi" w:hAnsiTheme="majorHAnsi" w:cs="Arial"/>
          <w:sz w:val="20"/>
          <w:szCs w:val="20"/>
        </w:rPr>
        <w:t xml:space="preserve">: 10.1159/000345226. </w:t>
      </w:r>
      <w:proofErr w:type="spellStart"/>
      <w:r w:rsidRPr="00A367D3">
        <w:rPr>
          <w:rFonts w:asciiTheme="majorHAnsi" w:hAnsiTheme="majorHAnsi" w:cs="Arial"/>
          <w:sz w:val="20"/>
          <w:szCs w:val="20"/>
        </w:rPr>
        <w:t>Epub</w:t>
      </w:r>
      <w:proofErr w:type="spellEnd"/>
      <w:r w:rsidRPr="00A367D3">
        <w:rPr>
          <w:rFonts w:asciiTheme="majorHAnsi" w:hAnsiTheme="majorHAnsi" w:cs="Arial"/>
          <w:sz w:val="20"/>
          <w:szCs w:val="20"/>
        </w:rPr>
        <w:t xml:space="preserve"> 2012 Dec 11</w:t>
      </w:r>
    </w:p>
    <w:p w:rsidR="00C20CB2" w:rsidRPr="00A367D3" w:rsidRDefault="00C20CB2" w:rsidP="00C20CB2">
      <w:pPr>
        <w:rPr>
          <w:rFonts w:asciiTheme="majorHAnsi" w:eastAsia="Times New Roman" w:hAnsiTheme="majorHAnsi" w:cs="ArialMT"/>
          <w:sz w:val="20"/>
          <w:szCs w:val="20"/>
          <w:lang w:eastAsia="en-US"/>
        </w:rPr>
      </w:pPr>
      <w:r w:rsidRPr="00A367D3">
        <w:rPr>
          <w:rFonts w:asciiTheme="majorHAnsi" w:eastAsia="Times New Roman" w:hAnsiTheme="majorHAnsi" w:cs="ArialMT"/>
          <w:sz w:val="20"/>
          <w:szCs w:val="20"/>
          <w:lang w:eastAsia="en-US"/>
        </w:rPr>
        <w:t xml:space="preserve">9. Lien J, </w:t>
      </w:r>
      <w:proofErr w:type="spellStart"/>
      <w:r w:rsidRPr="00A367D3">
        <w:rPr>
          <w:rFonts w:asciiTheme="majorHAnsi" w:eastAsia="Times New Roman" w:hAnsiTheme="majorHAnsi" w:cs="ArialMT"/>
          <w:sz w:val="20"/>
          <w:szCs w:val="20"/>
          <w:lang w:eastAsia="en-US"/>
        </w:rPr>
        <w:t>Nyhan</w:t>
      </w:r>
      <w:proofErr w:type="spellEnd"/>
      <w:r w:rsidRPr="00A367D3">
        <w:rPr>
          <w:rFonts w:asciiTheme="majorHAnsi" w:eastAsia="Times New Roman" w:hAnsiTheme="majorHAnsi" w:cs="ArialMT"/>
          <w:sz w:val="20"/>
          <w:szCs w:val="20"/>
          <w:lang w:eastAsia="en-US"/>
        </w:rPr>
        <w:t xml:space="preserve"> WL, </w:t>
      </w:r>
      <w:proofErr w:type="spellStart"/>
      <w:r w:rsidRPr="00A367D3">
        <w:rPr>
          <w:rFonts w:asciiTheme="majorHAnsi" w:eastAsia="Times New Roman" w:hAnsiTheme="majorHAnsi" w:cs="ArialMT"/>
          <w:sz w:val="20"/>
          <w:szCs w:val="20"/>
          <w:lang w:eastAsia="en-US"/>
        </w:rPr>
        <w:t>Barshop</w:t>
      </w:r>
      <w:proofErr w:type="spellEnd"/>
      <w:r w:rsidRPr="00A367D3">
        <w:rPr>
          <w:rFonts w:asciiTheme="majorHAnsi" w:eastAsia="Times New Roman" w:hAnsiTheme="majorHAnsi" w:cs="ArialMT"/>
          <w:sz w:val="20"/>
          <w:szCs w:val="20"/>
          <w:lang w:eastAsia="en-US"/>
        </w:rPr>
        <w:t xml:space="preserve"> BA. </w:t>
      </w:r>
      <w:proofErr w:type="gramStart"/>
      <w:r w:rsidRPr="00A367D3">
        <w:rPr>
          <w:rFonts w:asciiTheme="majorHAnsi" w:eastAsia="Times New Roman" w:hAnsiTheme="majorHAnsi" w:cs="ArialMT"/>
          <w:sz w:val="20"/>
          <w:szCs w:val="20"/>
          <w:lang w:eastAsia="en-US"/>
        </w:rPr>
        <w:t>Fatal initial adult-onset presentation of urea cycle defect.</w:t>
      </w:r>
      <w:proofErr w:type="gramEnd"/>
      <w:r w:rsidRPr="00A367D3">
        <w:rPr>
          <w:rFonts w:asciiTheme="majorHAnsi" w:eastAsia="Times New Roman" w:hAnsiTheme="majorHAnsi" w:cs="ArialMT"/>
          <w:sz w:val="20"/>
          <w:szCs w:val="20"/>
          <w:lang w:eastAsia="en-US"/>
        </w:rPr>
        <w:t xml:space="preserve">  </w:t>
      </w:r>
      <w:hyperlink r:id="rId14" w:tooltip="Archives of neurology." w:history="1">
        <w:r w:rsidRPr="00A367D3">
          <w:rPr>
            <w:rFonts w:asciiTheme="majorHAnsi" w:eastAsia="Times New Roman" w:hAnsiTheme="majorHAnsi" w:cs="Arial"/>
            <w:color w:val="2F4A8B"/>
            <w:sz w:val="20"/>
            <w:szCs w:val="20"/>
            <w:u w:val="single"/>
            <w:lang w:eastAsia="en-US"/>
          </w:rPr>
          <w:t>Arch Neurol.</w:t>
        </w:r>
      </w:hyperlink>
      <w:r w:rsidRPr="00A367D3">
        <w:rPr>
          <w:rFonts w:asciiTheme="majorHAnsi" w:eastAsia="Times New Roman" w:hAnsiTheme="majorHAnsi" w:cs="Arial"/>
          <w:sz w:val="20"/>
          <w:szCs w:val="20"/>
          <w:lang w:eastAsia="en-US"/>
        </w:rPr>
        <w:t xml:space="preserve"> 2007 Dec</w:t>
      </w:r>
      <w:proofErr w:type="gramStart"/>
      <w:r w:rsidRPr="00A367D3">
        <w:rPr>
          <w:rFonts w:asciiTheme="majorHAnsi" w:eastAsia="Times New Roman" w:hAnsiTheme="majorHAnsi" w:cs="Arial"/>
          <w:sz w:val="20"/>
          <w:szCs w:val="20"/>
          <w:lang w:eastAsia="en-US"/>
        </w:rPr>
        <w:t>;64</w:t>
      </w:r>
      <w:proofErr w:type="gramEnd"/>
      <w:r w:rsidRPr="00A367D3">
        <w:rPr>
          <w:rFonts w:asciiTheme="majorHAnsi" w:eastAsia="Times New Roman" w:hAnsiTheme="majorHAnsi" w:cs="Arial"/>
          <w:sz w:val="20"/>
          <w:szCs w:val="20"/>
          <w:lang w:eastAsia="en-US"/>
        </w:rPr>
        <w:t>(12):1777-9.</w:t>
      </w:r>
    </w:p>
    <w:p w:rsidR="00C20CB2" w:rsidRPr="00A367D3" w:rsidRDefault="00C20CB2" w:rsidP="00C20CB2">
      <w:pPr>
        <w:suppressAutoHyphens w:val="0"/>
        <w:rPr>
          <w:rFonts w:asciiTheme="majorHAnsi" w:eastAsia="Times New Roman" w:hAnsiTheme="majorHAnsi" w:cs="Arial"/>
          <w:sz w:val="17"/>
          <w:szCs w:val="17"/>
          <w:lang w:eastAsia="en-US"/>
        </w:rPr>
      </w:pPr>
      <w:r w:rsidRPr="00A367D3">
        <w:rPr>
          <w:rFonts w:asciiTheme="majorHAnsi" w:eastAsia="Times New Roman" w:hAnsiTheme="majorHAnsi" w:cs="Arial"/>
          <w:sz w:val="20"/>
          <w:szCs w:val="20"/>
          <w:lang w:eastAsia="en-US"/>
        </w:rPr>
        <w:t xml:space="preserve">10. </w:t>
      </w:r>
      <w:proofErr w:type="spellStart"/>
      <w:r w:rsidRPr="00A367D3">
        <w:rPr>
          <w:rFonts w:asciiTheme="majorHAnsi" w:eastAsia="Times New Roman" w:hAnsiTheme="majorHAnsi" w:cs="Arial"/>
          <w:sz w:val="20"/>
          <w:szCs w:val="20"/>
          <w:lang w:eastAsia="en-US"/>
        </w:rPr>
        <w:t>Gardeitchik</w:t>
      </w:r>
      <w:proofErr w:type="spellEnd"/>
      <w:r w:rsidRPr="00A367D3">
        <w:rPr>
          <w:rFonts w:asciiTheme="majorHAnsi" w:eastAsia="Times New Roman" w:hAnsiTheme="majorHAnsi" w:cs="Arial"/>
          <w:sz w:val="20"/>
          <w:szCs w:val="20"/>
          <w:lang w:eastAsia="en-US"/>
        </w:rPr>
        <w:t xml:space="preserve"> T, Humphrey M, Nation J, </w:t>
      </w:r>
      <w:proofErr w:type="spellStart"/>
      <w:r w:rsidRPr="00A367D3">
        <w:rPr>
          <w:rFonts w:asciiTheme="majorHAnsi" w:eastAsia="Times New Roman" w:hAnsiTheme="majorHAnsi" w:cs="Arial"/>
          <w:sz w:val="20"/>
          <w:szCs w:val="20"/>
          <w:lang w:eastAsia="en-US"/>
        </w:rPr>
        <w:t>Boneh</w:t>
      </w:r>
      <w:proofErr w:type="spellEnd"/>
      <w:r w:rsidRPr="00A367D3">
        <w:rPr>
          <w:rFonts w:asciiTheme="majorHAnsi" w:eastAsia="Times New Roman" w:hAnsiTheme="majorHAnsi" w:cs="Arial"/>
          <w:sz w:val="20"/>
          <w:szCs w:val="20"/>
          <w:lang w:eastAsia="en-US"/>
        </w:rPr>
        <w:t xml:space="preserve"> A. </w:t>
      </w:r>
      <w:r w:rsidRPr="00F75B27">
        <w:rPr>
          <w:rFonts w:asciiTheme="majorHAnsi" w:eastAsia="Times New Roman" w:hAnsiTheme="majorHAnsi" w:cs="Arial"/>
          <w:sz w:val="20"/>
          <w:szCs w:val="20"/>
          <w:lang w:eastAsia="en-US"/>
        </w:rPr>
        <w:t xml:space="preserve">Early clinical manifestations and eating patterns in patients with urea cycle disorders. </w:t>
      </w:r>
      <w:hyperlink r:id="rId15" w:tooltip="The Journal of pediatrics." w:history="1">
        <w:proofErr w:type="gramStart"/>
        <w:r w:rsidRPr="00F75B27">
          <w:rPr>
            <w:rFonts w:asciiTheme="majorHAnsi" w:hAnsiTheme="majorHAnsi" w:cs="Arial"/>
            <w:color w:val="2F4A8B"/>
            <w:sz w:val="20"/>
            <w:szCs w:val="20"/>
            <w:u w:val="single"/>
          </w:rPr>
          <w:t xml:space="preserve">J </w:t>
        </w:r>
        <w:proofErr w:type="spellStart"/>
        <w:r w:rsidRPr="00F75B27">
          <w:rPr>
            <w:rFonts w:asciiTheme="majorHAnsi" w:hAnsiTheme="majorHAnsi" w:cs="Arial"/>
            <w:color w:val="2F4A8B"/>
            <w:sz w:val="20"/>
            <w:szCs w:val="20"/>
            <w:u w:val="single"/>
          </w:rPr>
          <w:t>Pediatr</w:t>
        </w:r>
        <w:proofErr w:type="spellEnd"/>
        <w:r w:rsidRPr="00F75B27">
          <w:rPr>
            <w:rFonts w:asciiTheme="majorHAnsi" w:hAnsiTheme="majorHAnsi" w:cs="Arial"/>
            <w:color w:val="2F4A8B"/>
            <w:sz w:val="20"/>
            <w:szCs w:val="20"/>
            <w:u w:val="single"/>
          </w:rPr>
          <w:t>.</w:t>
        </w:r>
        <w:proofErr w:type="gramEnd"/>
      </w:hyperlink>
      <w:r w:rsidRPr="00F75B27">
        <w:rPr>
          <w:rFonts w:asciiTheme="majorHAnsi" w:hAnsiTheme="majorHAnsi" w:cs="Arial"/>
          <w:sz w:val="20"/>
          <w:szCs w:val="20"/>
        </w:rPr>
        <w:t xml:space="preserve"> 2012 Aug</w:t>
      </w:r>
      <w:proofErr w:type="gramStart"/>
      <w:r w:rsidRPr="00F75B27">
        <w:rPr>
          <w:rFonts w:asciiTheme="majorHAnsi" w:hAnsiTheme="majorHAnsi" w:cs="Arial"/>
          <w:sz w:val="20"/>
          <w:szCs w:val="20"/>
        </w:rPr>
        <w:t>;161</w:t>
      </w:r>
      <w:proofErr w:type="gramEnd"/>
      <w:r w:rsidRPr="00F75B27">
        <w:rPr>
          <w:rFonts w:asciiTheme="majorHAnsi" w:hAnsiTheme="majorHAnsi" w:cs="Arial"/>
          <w:sz w:val="20"/>
          <w:szCs w:val="20"/>
        </w:rPr>
        <w:t>(2):328-3</w:t>
      </w:r>
      <w:r w:rsidRPr="00A367D3">
        <w:rPr>
          <w:rFonts w:asciiTheme="majorHAnsi" w:hAnsiTheme="majorHAnsi" w:cs="Arial"/>
          <w:sz w:val="20"/>
          <w:szCs w:val="20"/>
        </w:rPr>
        <w:t xml:space="preserve">2. </w:t>
      </w:r>
      <w:proofErr w:type="spellStart"/>
      <w:proofErr w:type="gramStart"/>
      <w:r w:rsidRPr="00A367D3">
        <w:rPr>
          <w:rFonts w:asciiTheme="majorHAnsi" w:hAnsiTheme="majorHAnsi" w:cs="Arial"/>
          <w:sz w:val="20"/>
          <w:szCs w:val="20"/>
        </w:rPr>
        <w:t>doi</w:t>
      </w:r>
      <w:proofErr w:type="spellEnd"/>
      <w:proofErr w:type="gramEnd"/>
      <w:r w:rsidRPr="00A367D3">
        <w:rPr>
          <w:rFonts w:asciiTheme="majorHAnsi" w:hAnsiTheme="majorHAnsi" w:cs="Arial"/>
          <w:sz w:val="20"/>
          <w:szCs w:val="20"/>
        </w:rPr>
        <w:t xml:space="preserve">: 10.1016/j.jpeds.2012.02.006. </w:t>
      </w:r>
      <w:proofErr w:type="spellStart"/>
      <w:r w:rsidRPr="00A367D3">
        <w:rPr>
          <w:rFonts w:asciiTheme="majorHAnsi" w:hAnsiTheme="majorHAnsi" w:cs="Arial"/>
          <w:sz w:val="20"/>
          <w:szCs w:val="20"/>
        </w:rPr>
        <w:t>Epub</w:t>
      </w:r>
      <w:proofErr w:type="spellEnd"/>
      <w:r w:rsidRPr="00A367D3">
        <w:rPr>
          <w:rFonts w:asciiTheme="majorHAnsi" w:hAnsiTheme="majorHAnsi" w:cs="Arial"/>
          <w:sz w:val="20"/>
          <w:szCs w:val="20"/>
        </w:rPr>
        <w:t xml:space="preserve"> 2012 Mar 16</w:t>
      </w:r>
    </w:p>
    <w:p w:rsidR="00C20CB2" w:rsidRPr="00F75B27" w:rsidRDefault="00C20CB2" w:rsidP="00C20CB2">
      <w:pPr>
        <w:shd w:val="clear" w:color="auto" w:fill="FFFFFF"/>
        <w:rPr>
          <w:rFonts w:asciiTheme="majorHAnsi" w:eastAsia="Times New Roman" w:hAnsiTheme="majorHAnsi" w:cs="Arial"/>
          <w:sz w:val="20"/>
          <w:szCs w:val="20"/>
          <w:lang w:eastAsia="en-US"/>
        </w:rPr>
      </w:pPr>
      <w:r>
        <w:rPr>
          <w:rFonts w:asciiTheme="majorHAnsi" w:eastAsia="Times New Roman" w:hAnsiTheme="majorHAnsi" w:cs="Arial"/>
          <w:sz w:val="17"/>
          <w:szCs w:val="17"/>
          <w:lang w:eastAsia="en-US"/>
        </w:rPr>
        <w:t xml:space="preserve">11. </w:t>
      </w:r>
      <w:hyperlink r:id="rId16" w:history="1">
        <w:r w:rsidRPr="00F75B27">
          <w:rPr>
            <w:rFonts w:asciiTheme="majorHAnsi" w:eastAsia="Times New Roman" w:hAnsiTheme="majorHAnsi" w:cs="Arial"/>
            <w:sz w:val="20"/>
            <w:szCs w:val="20"/>
            <w:lang w:eastAsia="en-US"/>
          </w:rPr>
          <w:t>Smith W</w:t>
        </w:r>
      </w:hyperlink>
      <w:r w:rsidRPr="00F75B27">
        <w:rPr>
          <w:rFonts w:asciiTheme="majorHAnsi" w:eastAsia="Times New Roman" w:hAnsiTheme="majorHAnsi" w:cs="Arial"/>
          <w:sz w:val="20"/>
          <w:szCs w:val="20"/>
          <w:lang w:eastAsia="en-US"/>
        </w:rPr>
        <w:t xml:space="preserve">, </w:t>
      </w:r>
      <w:hyperlink r:id="rId17" w:history="1">
        <w:proofErr w:type="spellStart"/>
        <w:r w:rsidRPr="00F75B27">
          <w:rPr>
            <w:rFonts w:asciiTheme="majorHAnsi" w:eastAsia="Times New Roman" w:hAnsiTheme="majorHAnsi" w:cs="Arial"/>
            <w:sz w:val="20"/>
            <w:szCs w:val="20"/>
            <w:lang w:eastAsia="en-US"/>
          </w:rPr>
          <w:t>Kishnani</w:t>
        </w:r>
        <w:proofErr w:type="spellEnd"/>
        <w:r w:rsidRPr="00F75B27">
          <w:rPr>
            <w:rFonts w:asciiTheme="majorHAnsi" w:eastAsia="Times New Roman" w:hAnsiTheme="majorHAnsi" w:cs="Arial"/>
            <w:sz w:val="20"/>
            <w:szCs w:val="20"/>
            <w:lang w:eastAsia="en-US"/>
          </w:rPr>
          <w:t xml:space="preserve"> PS</w:t>
        </w:r>
      </w:hyperlink>
      <w:r w:rsidRPr="00F75B27">
        <w:rPr>
          <w:rFonts w:asciiTheme="majorHAnsi" w:eastAsia="Times New Roman" w:hAnsiTheme="majorHAnsi" w:cs="Arial"/>
          <w:sz w:val="20"/>
          <w:szCs w:val="20"/>
          <w:lang w:eastAsia="en-US"/>
        </w:rPr>
        <w:t xml:space="preserve">, </w:t>
      </w:r>
      <w:hyperlink r:id="rId18" w:history="1">
        <w:r w:rsidRPr="00F75B27">
          <w:rPr>
            <w:rFonts w:asciiTheme="majorHAnsi" w:eastAsia="Times New Roman" w:hAnsiTheme="majorHAnsi" w:cs="Arial"/>
            <w:sz w:val="20"/>
            <w:szCs w:val="20"/>
            <w:lang w:eastAsia="en-US"/>
          </w:rPr>
          <w:t>Lee B</w:t>
        </w:r>
      </w:hyperlink>
      <w:r w:rsidRPr="00F75B27">
        <w:rPr>
          <w:rFonts w:asciiTheme="majorHAnsi" w:eastAsia="Times New Roman" w:hAnsiTheme="majorHAnsi" w:cs="Arial"/>
          <w:sz w:val="20"/>
          <w:szCs w:val="20"/>
          <w:lang w:eastAsia="en-US"/>
        </w:rPr>
        <w:t xml:space="preserve">, </w:t>
      </w:r>
      <w:hyperlink r:id="rId19" w:history="1">
        <w:r w:rsidRPr="00F75B27">
          <w:rPr>
            <w:rFonts w:asciiTheme="majorHAnsi" w:eastAsia="Times New Roman" w:hAnsiTheme="majorHAnsi" w:cs="Arial"/>
            <w:sz w:val="20"/>
            <w:szCs w:val="20"/>
            <w:lang w:eastAsia="en-US"/>
          </w:rPr>
          <w:t>Singh RH</w:t>
        </w:r>
      </w:hyperlink>
      <w:r w:rsidRPr="00F75B27">
        <w:rPr>
          <w:rFonts w:asciiTheme="majorHAnsi" w:eastAsia="Times New Roman" w:hAnsiTheme="majorHAnsi" w:cs="Arial"/>
          <w:sz w:val="20"/>
          <w:szCs w:val="20"/>
          <w:lang w:eastAsia="en-US"/>
        </w:rPr>
        <w:t xml:space="preserve">, </w:t>
      </w:r>
      <w:hyperlink r:id="rId20" w:history="1">
        <w:proofErr w:type="spellStart"/>
        <w:r w:rsidRPr="00F75B27">
          <w:rPr>
            <w:rFonts w:asciiTheme="majorHAnsi" w:eastAsia="Times New Roman" w:hAnsiTheme="majorHAnsi" w:cs="Arial"/>
            <w:sz w:val="20"/>
            <w:szCs w:val="20"/>
            <w:lang w:eastAsia="en-US"/>
          </w:rPr>
          <w:t>Rhead</w:t>
        </w:r>
        <w:proofErr w:type="spellEnd"/>
        <w:r w:rsidRPr="00F75B27">
          <w:rPr>
            <w:rFonts w:asciiTheme="majorHAnsi" w:eastAsia="Times New Roman" w:hAnsiTheme="majorHAnsi" w:cs="Arial"/>
            <w:sz w:val="20"/>
            <w:szCs w:val="20"/>
            <w:lang w:eastAsia="en-US"/>
          </w:rPr>
          <w:t xml:space="preserve"> WJ</w:t>
        </w:r>
      </w:hyperlink>
      <w:r w:rsidRPr="00F75B27">
        <w:rPr>
          <w:rFonts w:asciiTheme="majorHAnsi" w:eastAsia="Times New Roman" w:hAnsiTheme="majorHAnsi" w:cs="Arial"/>
          <w:sz w:val="20"/>
          <w:szCs w:val="20"/>
          <w:lang w:eastAsia="en-US"/>
        </w:rPr>
        <w:t xml:space="preserve">, </w:t>
      </w:r>
      <w:hyperlink r:id="rId21" w:history="1">
        <w:proofErr w:type="spellStart"/>
        <w:r w:rsidRPr="00F75B27">
          <w:rPr>
            <w:rFonts w:asciiTheme="majorHAnsi" w:eastAsia="Times New Roman" w:hAnsiTheme="majorHAnsi" w:cs="Arial"/>
            <w:sz w:val="20"/>
            <w:szCs w:val="20"/>
            <w:lang w:eastAsia="en-US"/>
          </w:rPr>
          <w:t>Sniderman</w:t>
        </w:r>
        <w:proofErr w:type="spellEnd"/>
        <w:r w:rsidRPr="00F75B27">
          <w:rPr>
            <w:rFonts w:asciiTheme="majorHAnsi" w:eastAsia="Times New Roman" w:hAnsiTheme="majorHAnsi" w:cs="Arial"/>
            <w:sz w:val="20"/>
            <w:szCs w:val="20"/>
            <w:lang w:eastAsia="en-US"/>
          </w:rPr>
          <w:t xml:space="preserve"> King L</w:t>
        </w:r>
      </w:hyperlink>
      <w:r w:rsidRPr="00F75B27">
        <w:rPr>
          <w:rFonts w:asciiTheme="majorHAnsi" w:eastAsia="Times New Roman" w:hAnsiTheme="majorHAnsi" w:cs="Arial"/>
          <w:sz w:val="20"/>
          <w:szCs w:val="20"/>
          <w:lang w:eastAsia="en-US"/>
        </w:rPr>
        <w:t xml:space="preserve">, </w:t>
      </w:r>
      <w:hyperlink r:id="rId22" w:history="1">
        <w:r w:rsidRPr="00F75B27">
          <w:rPr>
            <w:rFonts w:asciiTheme="majorHAnsi" w:eastAsia="Times New Roman" w:hAnsiTheme="majorHAnsi" w:cs="Arial"/>
            <w:sz w:val="20"/>
            <w:szCs w:val="20"/>
            <w:lang w:eastAsia="en-US"/>
          </w:rPr>
          <w:t>Smith M</w:t>
        </w:r>
      </w:hyperlink>
      <w:r w:rsidRPr="00F75B27">
        <w:rPr>
          <w:rFonts w:asciiTheme="majorHAnsi" w:eastAsia="Times New Roman" w:hAnsiTheme="majorHAnsi" w:cs="Arial"/>
          <w:sz w:val="20"/>
          <w:szCs w:val="20"/>
          <w:lang w:eastAsia="en-US"/>
        </w:rPr>
        <w:t xml:space="preserve">, </w:t>
      </w:r>
      <w:hyperlink r:id="rId23" w:history="1">
        <w:proofErr w:type="spellStart"/>
        <w:r w:rsidRPr="00F75B27">
          <w:rPr>
            <w:rFonts w:asciiTheme="majorHAnsi" w:eastAsia="Times New Roman" w:hAnsiTheme="majorHAnsi" w:cs="Arial"/>
            <w:sz w:val="20"/>
            <w:szCs w:val="20"/>
            <w:lang w:eastAsia="en-US"/>
          </w:rPr>
          <w:t>Summar</w:t>
        </w:r>
        <w:proofErr w:type="spellEnd"/>
        <w:r w:rsidRPr="00F75B27">
          <w:rPr>
            <w:rFonts w:asciiTheme="majorHAnsi" w:eastAsia="Times New Roman" w:hAnsiTheme="majorHAnsi" w:cs="Arial"/>
            <w:sz w:val="20"/>
            <w:szCs w:val="20"/>
            <w:lang w:eastAsia="en-US"/>
          </w:rPr>
          <w:t xml:space="preserve"> M</w:t>
        </w:r>
      </w:hyperlink>
      <w:r w:rsidRPr="00F75B27">
        <w:rPr>
          <w:rFonts w:asciiTheme="majorHAnsi" w:eastAsia="Times New Roman" w:hAnsiTheme="majorHAnsi" w:cs="Arial"/>
          <w:sz w:val="20"/>
          <w:szCs w:val="20"/>
          <w:lang w:eastAsia="en-US"/>
        </w:rPr>
        <w:t>.</w:t>
      </w:r>
    </w:p>
    <w:p w:rsidR="00C20CB2" w:rsidRPr="00F75B27" w:rsidRDefault="00C20CB2" w:rsidP="00C20CB2">
      <w:pPr>
        <w:shd w:val="clear" w:color="auto" w:fill="FFFFFF"/>
        <w:rPr>
          <w:rFonts w:asciiTheme="majorHAnsi" w:eastAsia="Times New Roman" w:hAnsiTheme="majorHAnsi" w:cs="Arial"/>
          <w:sz w:val="20"/>
          <w:szCs w:val="20"/>
          <w:lang w:eastAsia="en-US"/>
        </w:rPr>
      </w:pPr>
      <w:r w:rsidRPr="00F75B27">
        <w:rPr>
          <w:rFonts w:asciiTheme="majorHAnsi" w:hAnsiTheme="majorHAnsi" w:cs="Arial"/>
          <w:sz w:val="20"/>
          <w:szCs w:val="20"/>
        </w:rPr>
        <w:t xml:space="preserve">Urea cycle disorders: clinical presentation outside the newborn period. </w:t>
      </w:r>
      <w:hyperlink r:id="rId24" w:tooltip="Critical care clinics." w:history="1">
        <w:proofErr w:type="spellStart"/>
        <w:proofErr w:type="gramStart"/>
        <w:r w:rsidRPr="00F75B27">
          <w:rPr>
            <w:rFonts w:asciiTheme="majorHAnsi" w:eastAsia="Times New Roman" w:hAnsiTheme="majorHAnsi" w:cs="Arial"/>
            <w:sz w:val="20"/>
            <w:szCs w:val="20"/>
            <w:lang w:eastAsia="en-US"/>
          </w:rPr>
          <w:t>Crit</w:t>
        </w:r>
        <w:proofErr w:type="spellEnd"/>
        <w:r w:rsidRPr="00F75B27">
          <w:rPr>
            <w:rFonts w:asciiTheme="majorHAnsi" w:eastAsia="Times New Roman" w:hAnsiTheme="majorHAnsi" w:cs="Arial"/>
            <w:sz w:val="20"/>
            <w:szCs w:val="20"/>
            <w:lang w:eastAsia="en-US"/>
          </w:rPr>
          <w:t xml:space="preserve"> Care </w:t>
        </w:r>
        <w:proofErr w:type="spellStart"/>
        <w:r w:rsidRPr="00F75B27">
          <w:rPr>
            <w:rFonts w:asciiTheme="majorHAnsi" w:eastAsia="Times New Roman" w:hAnsiTheme="majorHAnsi" w:cs="Arial"/>
            <w:sz w:val="20"/>
            <w:szCs w:val="20"/>
            <w:lang w:eastAsia="en-US"/>
          </w:rPr>
          <w:t>Clin</w:t>
        </w:r>
        <w:proofErr w:type="spellEnd"/>
        <w:r w:rsidRPr="00F75B27">
          <w:rPr>
            <w:rFonts w:asciiTheme="majorHAnsi" w:eastAsia="Times New Roman" w:hAnsiTheme="majorHAnsi" w:cs="Arial"/>
            <w:sz w:val="20"/>
            <w:szCs w:val="20"/>
            <w:lang w:eastAsia="en-US"/>
          </w:rPr>
          <w:t>.</w:t>
        </w:r>
        <w:proofErr w:type="gramEnd"/>
      </w:hyperlink>
      <w:r w:rsidRPr="00F75B27">
        <w:rPr>
          <w:rFonts w:asciiTheme="majorHAnsi" w:eastAsia="Times New Roman" w:hAnsiTheme="majorHAnsi" w:cs="Arial"/>
          <w:sz w:val="20"/>
          <w:szCs w:val="20"/>
          <w:lang w:eastAsia="en-US"/>
        </w:rPr>
        <w:t xml:space="preserve"> 2005 Oct</w:t>
      </w:r>
      <w:proofErr w:type="gramStart"/>
      <w:r w:rsidRPr="00F75B27">
        <w:rPr>
          <w:rFonts w:asciiTheme="majorHAnsi" w:eastAsia="Times New Roman" w:hAnsiTheme="majorHAnsi" w:cs="Arial"/>
          <w:sz w:val="20"/>
          <w:szCs w:val="20"/>
          <w:lang w:eastAsia="en-US"/>
        </w:rPr>
        <w:t>;21</w:t>
      </w:r>
      <w:proofErr w:type="gramEnd"/>
      <w:r w:rsidRPr="00F75B27">
        <w:rPr>
          <w:rFonts w:asciiTheme="majorHAnsi" w:eastAsia="Times New Roman" w:hAnsiTheme="majorHAnsi" w:cs="Arial"/>
          <w:sz w:val="20"/>
          <w:szCs w:val="20"/>
          <w:lang w:eastAsia="en-US"/>
        </w:rPr>
        <w:t xml:space="preserve">(4 </w:t>
      </w:r>
      <w:proofErr w:type="spellStart"/>
      <w:r w:rsidRPr="00F75B27">
        <w:rPr>
          <w:rFonts w:asciiTheme="majorHAnsi" w:eastAsia="Times New Roman" w:hAnsiTheme="majorHAnsi" w:cs="Arial"/>
          <w:sz w:val="20"/>
          <w:szCs w:val="20"/>
          <w:lang w:eastAsia="en-US"/>
        </w:rPr>
        <w:t>Suppl</w:t>
      </w:r>
      <w:proofErr w:type="spellEnd"/>
      <w:r w:rsidRPr="00F75B27">
        <w:rPr>
          <w:rFonts w:asciiTheme="majorHAnsi" w:eastAsia="Times New Roman" w:hAnsiTheme="majorHAnsi" w:cs="Arial"/>
          <w:sz w:val="20"/>
          <w:szCs w:val="20"/>
          <w:lang w:eastAsia="en-US"/>
        </w:rPr>
        <w:t>):S9-17.</w:t>
      </w:r>
    </w:p>
    <w:p w:rsidR="00C20CB2" w:rsidRPr="00076D0F" w:rsidRDefault="00C20CB2" w:rsidP="00C20CB2">
      <w:pPr>
        <w:suppressAutoHyphens w:val="0"/>
        <w:rPr>
          <w:rFonts w:asciiTheme="majorHAnsi" w:eastAsia="Times New Roman" w:hAnsiTheme="majorHAnsi" w:cs="Arial"/>
          <w:sz w:val="20"/>
          <w:szCs w:val="20"/>
          <w:lang w:eastAsia="en-US"/>
        </w:rPr>
      </w:pPr>
      <w:r w:rsidRPr="00076D0F">
        <w:rPr>
          <w:rFonts w:asciiTheme="majorHAnsi" w:eastAsia="Times New Roman" w:hAnsiTheme="majorHAnsi" w:cs="Arial"/>
          <w:sz w:val="20"/>
          <w:szCs w:val="20"/>
          <w:lang w:eastAsia="en-US"/>
        </w:rPr>
        <w:t xml:space="preserve">12. </w:t>
      </w:r>
      <w:proofErr w:type="spellStart"/>
      <w:r w:rsidRPr="00076D0F">
        <w:rPr>
          <w:rFonts w:asciiTheme="majorHAnsi" w:eastAsia="Times New Roman" w:hAnsiTheme="majorHAnsi" w:cs="Arial"/>
          <w:sz w:val="20"/>
          <w:szCs w:val="20"/>
          <w:lang w:eastAsia="en-US"/>
        </w:rPr>
        <w:t>Atiq</w:t>
      </w:r>
      <w:proofErr w:type="spellEnd"/>
      <w:r w:rsidRPr="00076D0F">
        <w:rPr>
          <w:rFonts w:asciiTheme="majorHAnsi" w:eastAsia="Times New Roman" w:hAnsiTheme="majorHAnsi" w:cs="Arial"/>
          <w:sz w:val="20"/>
          <w:szCs w:val="20"/>
          <w:lang w:eastAsia="en-US"/>
        </w:rPr>
        <w:t xml:space="preserve"> M, Holt AF, </w:t>
      </w:r>
      <w:proofErr w:type="spellStart"/>
      <w:r w:rsidRPr="00076D0F">
        <w:rPr>
          <w:rFonts w:asciiTheme="majorHAnsi" w:eastAsia="Times New Roman" w:hAnsiTheme="majorHAnsi" w:cs="Arial"/>
          <w:sz w:val="20"/>
          <w:szCs w:val="20"/>
          <w:lang w:eastAsia="en-US"/>
        </w:rPr>
        <w:t>Safdar</w:t>
      </w:r>
      <w:proofErr w:type="spellEnd"/>
      <w:r w:rsidRPr="00076D0F">
        <w:rPr>
          <w:rFonts w:asciiTheme="majorHAnsi" w:eastAsia="Times New Roman" w:hAnsiTheme="majorHAnsi" w:cs="Arial"/>
          <w:sz w:val="20"/>
          <w:szCs w:val="20"/>
          <w:lang w:eastAsia="en-US"/>
        </w:rPr>
        <w:t xml:space="preserve"> K, Weber F, </w:t>
      </w:r>
      <w:proofErr w:type="spellStart"/>
      <w:r w:rsidRPr="00076D0F">
        <w:rPr>
          <w:rFonts w:asciiTheme="majorHAnsi" w:eastAsia="Times New Roman" w:hAnsiTheme="majorHAnsi" w:cs="Arial"/>
          <w:sz w:val="20"/>
          <w:szCs w:val="20"/>
          <w:lang w:eastAsia="en-US"/>
        </w:rPr>
        <w:t>Ravinuthala</w:t>
      </w:r>
      <w:proofErr w:type="spellEnd"/>
      <w:r w:rsidRPr="00076D0F">
        <w:rPr>
          <w:rFonts w:asciiTheme="majorHAnsi" w:eastAsia="Times New Roman" w:hAnsiTheme="majorHAnsi" w:cs="Arial"/>
          <w:sz w:val="20"/>
          <w:szCs w:val="20"/>
          <w:lang w:eastAsia="en-US"/>
        </w:rPr>
        <w:t xml:space="preserve"> R, Jonas ME, Neff GW. Adult onset urea cycle disorder in a patient with presumed hepatic encephalopathy. </w:t>
      </w:r>
      <w:proofErr w:type="gramStart"/>
      <w:r w:rsidRPr="00076D0F">
        <w:rPr>
          <w:rFonts w:asciiTheme="majorHAnsi" w:eastAsia="Times New Roman" w:hAnsiTheme="majorHAnsi" w:cs="Arial"/>
          <w:sz w:val="20"/>
          <w:szCs w:val="20"/>
          <w:lang w:eastAsia="en-US"/>
        </w:rPr>
        <w:t xml:space="preserve">J </w:t>
      </w:r>
      <w:proofErr w:type="spellStart"/>
      <w:r w:rsidRPr="00076D0F">
        <w:rPr>
          <w:rFonts w:asciiTheme="majorHAnsi" w:eastAsia="Times New Roman" w:hAnsiTheme="majorHAnsi" w:cs="Arial"/>
          <w:sz w:val="20"/>
          <w:szCs w:val="20"/>
          <w:lang w:eastAsia="en-US"/>
        </w:rPr>
        <w:t>Clin</w:t>
      </w:r>
      <w:proofErr w:type="spellEnd"/>
      <w:r w:rsidRPr="00076D0F">
        <w:rPr>
          <w:rFonts w:asciiTheme="majorHAnsi" w:eastAsia="Times New Roman" w:hAnsiTheme="majorHAnsi" w:cs="Arial"/>
          <w:sz w:val="20"/>
          <w:szCs w:val="20"/>
          <w:lang w:eastAsia="en-US"/>
        </w:rPr>
        <w:t xml:space="preserve"> </w:t>
      </w:r>
      <w:proofErr w:type="spellStart"/>
      <w:r w:rsidRPr="00076D0F">
        <w:rPr>
          <w:rFonts w:asciiTheme="majorHAnsi" w:eastAsia="Times New Roman" w:hAnsiTheme="majorHAnsi" w:cs="Arial"/>
          <w:sz w:val="20"/>
          <w:szCs w:val="20"/>
          <w:lang w:eastAsia="en-US"/>
        </w:rPr>
        <w:t>Gastroenterol</w:t>
      </w:r>
      <w:proofErr w:type="spellEnd"/>
      <w:r w:rsidRPr="00076D0F">
        <w:rPr>
          <w:rFonts w:asciiTheme="majorHAnsi" w:eastAsia="Times New Roman" w:hAnsiTheme="majorHAnsi" w:cs="Arial"/>
          <w:sz w:val="20"/>
          <w:szCs w:val="20"/>
          <w:lang w:eastAsia="en-US"/>
        </w:rPr>
        <w:t>.</w:t>
      </w:r>
      <w:proofErr w:type="gramEnd"/>
      <w:r w:rsidRPr="00076D0F">
        <w:rPr>
          <w:rFonts w:asciiTheme="majorHAnsi" w:eastAsia="Times New Roman" w:hAnsiTheme="majorHAnsi" w:cs="Arial"/>
          <w:sz w:val="20"/>
          <w:szCs w:val="20"/>
          <w:lang w:eastAsia="en-US"/>
        </w:rPr>
        <w:t xml:space="preserve"> 2008 Feb</w:t>
      </w:r>
      <w:proofErr w:type="gramStart"/>
      <w:r w:rsidRPr="00076D0F">
        <w:rPr>
          <w:rFonts w:asciiTheme="majorHAnsi" w:eastAsia="Times New Roman" w:hAnsiTheme="majorHAnsi" w:cs="Arial"/>
          <w:sz w:val="20"/>
          <w:szCs w:val="20"/>
          <w:lang w:eastAsia="en-US"/>
        </w:rPr>
        <w:t>;42</w:t>
      </w:r>
      <w:proofErr w:type="gramEnd"/>
      <w:r w:rsidRPr="00076D0F">
        <w:rPr>
          <w:rFonts w:asciiTheme="majorHAnsi" w:eastAsia="Times New Roman" w:hAnsiTheme="majorHAnsi" w:cs="Arial"/>
          <w:sz w:val="20"/>
          <w:szCs w:val="20"/>
          <w:lang w:eastAsia="en-US"/>
        </w:rPr>
        <w:t>(2):213-4.</w:t>
      </w:r>
    </w:p>
    <w:p w:rsidR="005932C8" w:rsidRDefault="005932C8" w:rsidP="00743500">
      <w:pPr>
        <w:suppressAutoHyphens w:val="0"/>
        <w:rPr>
          <w:rFonts w:ascii="Cambria" w:hAnsi="Cambria" w:cs="Arial"/>
          <w:sz w:val="20"/>
          <w:szCs w:val="20"/>
        </w:rPr>
      </w:pPr>
    </w:p>
    <w:p w:rsidR="005932C8" w:rsidRDefault="005932C8" w:rsidP="00743500">
      <w:pPr>
        <w:suppressAutoHyphens w:val="0"/>
        <w:rPr>
          <w:rFonts w:ascii="Cambria" w:hAnsi="Cambria" w:cs="Arial"/>
          <w:sz w:val="20"/>
          <w:szCs w:val="20"/>
        </w:rPr>
      </w:pPr>
    </w:p>
    <w:p w:rsidR="005932C8" w:rsidRDefault="005932C8" w:rsidP="00743500">
      <w:pPr>
        <w:suppressAutoHyphens w:val="0"/>
        <w:rPr>
          <w:rFonts w:ascii="Cambria" w:hAnsi="Cambria" w:cs="Arial"/>
          <w:sz w:val="20"/>
          <w:szCs w:val="20"/>
        </w:rPr>
      </w:pPr>
    </w:p>
    <w:p w:rsidR="005932C8" w:rsidRDefault="005932C8" w:rsidP="00743500">
      <w:pPr>
        <w:suppressAutoHyphens w:val="0"/>
        <w:rPr>
          <w:rFonts w:ascii="Cambria" w:hAnsi="Cambria" w:cs="Arial"/>
          <w:sz w:val="20"/>
          <w:szCs w:val="20"/>
        </w:rPr>
      </w:pPr>
    </w:p>
    <w:p w:rsidR="005932C8" w:rsidRDefault="005932C8" w:rsidP="00743500">
      <w:pPr>
        <w:suppressAutoHyphens w:val="0"/>
        <w:rPr>
          <w:rFonts w:ascii="Cambria" w:hAnsi="Cambria" w:cs="Arial"/>
          <w:sz w:val="20"/>
          <w:szCs w:val="20"/>
        </w:rPr>
      </w:pPr>
    </w:p>
    <w:p w:rsidR="005932C8" w:rsidRDefault="005932C8" w:rsidP="00850AAB">
      <w:pPr>
        <w:shd w:val="clear" w:color="auto" w:fill="FFFFFF"/>
        <w:suppressAutoHyphens w:val="0"/>
        <w:spacing w:before="100" w:beforeAutospacing="1" w:after="100" w:afterAutospacing="1"/>
        <w:rPr>
          <w:rFonts w:ascii="Arial" w:hAnsi="Arial" w:cs="Arial"/>
          <w:sz w:val="20"/>
          <w:szCs w:val="20"/>
          <w:lang w:eastAsia="en-US"/>
        </w:rPr>
      </w:pPr>
    </w:p>
    <w:p w:rsidR="005932C8" w:rsidRPr="00850AAB" w:rsidRDefault="005932C8" w:rsidP="00850AAB">
      <w:pPr>
        <w:shd w:val="clear" w:color="auto" w:fill="FFFFFF"/>
        <w:suppressAutoHyphens w:val="0"/>
        <w:spacing w:before="100" w:beforeAutospacing="1" w:after="100" w:afterAutospacing="1"/>
        <w:rPr>
          <w:rFonts w:ascii="Arial" w:hAnsi="Arial" w:cs="Arial"/>
          <w:sz w:val="20"/>
          <w:szCs w:val="20"/>
          <w:lang w:eastAsia="en-US"/>
        </w:rPr>
      </w:pPr>
    </w:p>
    <w:p w:rsidR="005932C8" w:rsidRDefault="005932C8" w:rsidP="00644BD3"/>
    <w:sectPr w:rsidR="005932C8" w:rsidSect="00A245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02D" w:rsidRDefault="0067002D" w:rsidP="00F75B27">
      <w:r>
        <w:separator/>
      </w:r>
    </w:p>
  </w:endnote>
  <w:endnote w:type="continuationSeparator" w:id="0">
    <w:p w:rsidR="0067002D" w:rsidRDefault="0067002D" w:rsidP="00F75B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02D" w:rsidRDefault="0067002D" w:rsidP="00F75B27">
      <w:r>
        <w:separator/>
      </w:r>
    </w:p>
  </w:footnote>
  <w:footnote w:type="continuationSeparator" w:id="0">
    <w:p w:rsidR="0067002D" w:rsidRDefault="0067002D" w:rsidP="00F75B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footnotePr>
    <w:footnote w:id="-1"/>
    <w:footnote w:id="0"/>
  </w:footnotePr>
  <w:endnotePr>
    <w:endnote w:id="-1"/>
    <w:endnote w:id="0"/>
  </w:endnotePr>
  <w:compat/>
  <w:rsids>
    <w:rsidRoot w:val="00644BD3"/>
    <w:rsid w:val="00020E6C"/>
    <w:rsid w:val="0004762E"/>
    <w:rsid w:val="0006789A"/>
    <w:rsid w:val="00076D0F"/>
    <w:rsid w:val="00084147"/>
    <w:rsid w:val="00093BE3"/>
    <w:rsid w:val="000A3B0F"/>
    <w:rsid w:val="000C23CF"/>
    <w:rsid w:val="000D7383"/>
    <w:rsid w:val="000D75AC"/>
    <w:rsid w:val="001D4256"/>
    <w:rsid w:val="0029091F"/>
    <w:rsid w:val="002939B1"/>
    <w:rsid w:val="002A25A7"/>
    <w:rsid w:val="00315313"/>
    <w:rsid w:val="00335B38"/>
    <w:rsid w:val="00343092"/>
    <w:rsid w:val="00373CDC"/>
    <w:rsid w:val="003772CE"/>
    <w:rsid w:val="00380ED0"/>
    <w:rsid w:val="00383610"/>
    <w:rsid w:val="00394392"/>
    <w:rsid w:val="003A21D4"/>
    <w:rsid w:val="00400034"/>
    <w:rsid w:val="00417391"/>
    <w:rsid w:val="004212F2"/>
    <w:rsid w:val="00423A0D"/>
    <w:rsid w:val="004368E7"/>
    <w:rsid w:val="00446E3A"/>
    <w:rsid w:val="004509C2"/>
    <w:rsid w:val="00460307"/>
    <w:rsid w:val="00471271"/>
    <w:rsid w:val="0047297B"/>
    <w:rsid w:val="004841E4"/>
    <w:rsid w:val="00497D6E"/>
    <w:rsid w:val="004B169A"/>
    <w:rsid w:val="004F1D26"/>
    <w:rsid w:val="00584D86"/>
    <w:rsid w:val="005932C8"/>
    <w:rsid w:val="005973B2"/>
    <w:rsid w:val="005B6693"/>
    <w:rsid w:val="005F0568"/>
    <w:rsid w:val="006374BB"/>
    <w:rsid w:val="00637BA1"/>
    <w:rsid w:val="00644BD3"/>
    <w:rsid w:val="0067002D"/>
    <w:rsid w:val="006F2998"/>
    <w:rsid w:val="006F66D9"/>
    <w:rsid w:val="007030D9"/>
    <w:rsid w:val="00726741"/>
    <w:rsid w:val="00743500"/>
    <w:rsid w:val="00752892"/>
    <w:rsid w:val="00753509"/>
    <w:rsid w:val="007908D8"/>
    <w:rsid w:val="007C00FE"/>
    <w:rsid w:val="00850AAB"/>
    <w:rsid w:val="0086740B"/>
    <w:rsid w:val="00882B07"/>
    <w:rsid w:val="008B3032"/>
    <w:rsid w:val="008C61F2"/>
    <w:rsid w:val="008C74AF"/>
    <w:rsid w:val="008F35D1"/>
    <w:rsid w:val="0090606E"/>
    <w:rsid w:val="009328C4"/>
    <w:rsid w:val="00962250"/>
    <w:rsid w:val="00987A70"/>
    <w:rsid w:val="009D1DA4"/>
    <w:rsid w:val="009F3433"/>
    <w:rsid w:val="009F6744"/>
    <w:rsid w:val="00A24518"/>
    <w:rsid w:val="00A367D3"/>
    <w:rsid w:val="00A41E9D"/>
    <w:rsid w:val="00AD22BF"/>
    <w:rsid w:val="00B10035"/>
    <w:rsid w:val="00B901FB"/>
    <w:rsid w:val="00BA1914"/>
    <w:rsid w:val="00BC2199"/>
    <w:rsid w:val="00C03F43"/>
    <w:rsid w:val="00C16189"/>
    <w:rsid w:val="00C20CB2"/>
    <w:rsid w:val="00C21AA4"/>
    <w:rsid w:val="00C24CCC"/>
    <w:rsid w:val="00C33BE5"/>
    <w:rsid w:val="00C46E84"/>
    <w:rsid w:val="00C670AB"/>
    <w:rsid w:val="00CF1C57"/>
    <w:rsid w:val="00D640EA"/>
    <w:rsid w:val="00DF4128"/>
    <w:rsid w:val="00E004C7"/>
    <w:rsid w:val="00E62DC8"/>
    <w:rsid w:val="00EB4D7C"/>
    <w:rsid w:val="00EF248D"/>
    <w:rsid w:val="00EF66CA"/>
    <w:rsid w:val="00F07B28"/>
    <w:rsid w:val="00F64215"/>
    <w:rsid w:val="00F72F2B"/>
    <w:rsid w:val="00F75B27"/>
    <w:rsid w:val="00FB021A"/>
    <w:rsid w:val="00FF36B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D3"/>
    <w:pPr>
      <w:suppressAutoHyphens/>
    </w:pPr>
    <w:rPr>
      <w:rFonts w:cs="Calibri"/>
      <w:lang w:eastAsia="ar-SA"/>
    </w:rPr>
  </w:style>
  <w:style w:type="paragraph" w:styleId="Heading1">
    <w:name w:val="heading 1"/>
    <w:basedOn w:val="Normal"/>
    <w:link w:val="Heading1Char"/>
    <w:uiPriority w:val="99"/>
    <w:qFormat/>
    <w:rsid w:val="00850AAB"/>
    <w:pPr>
      <w:suppressAutoHyphens w:val="0"/>
      <w:spacing w:before="240" w:after="120"/>
      <w:outlineLvl w:val="0"/>
    </w:pPr>
    <w:rPr>
      <w:rFonts w:ascii="Times New Roman" w:eastAsia="Times New Roman" w:hAnsi="Times New Roman" w:cs="Times New Roman"/>
      <w:b/>
      <w:bCs/>
      <w:color w:val="000000"/>
      <w:kern w:val="36"/>
      <w:sz w:val="33"/>
      <w:szCs w:val="33"/>
      <w:lang w:eastAsia="en-US"/>
    </w:rPr>
  </w:style>
  <w:style w:type="paragraph" w:styleId="Heading3">
    <w:name w:val="heading 3"/>
    <w:basedOn w:val="Normal"/>
    <w:link w:val="Heading3Char"/>
    <w:uiPriority w:val="99"/>
    <w:qFormat/>
    <w:rsid w:val="00850AAB"/>
    <w:pPr>
      <w:suppressAutoHyphens w:val="0"/>
      <w:spacing w:before="308" w:after="154"/>
      <w:outlineLvl w:val="2"/>
    </w:pPr>
    <w:rPr>
      <w:rFonts w:ascii="Times New Roman" w:eastAsia="Times New Roman" w:hAnsi="Times New Roman" w:cs="Times New Roman"/>
      <w:b/>
      <w:bCs/>
      <w:color w:val="724128"/>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0AAB"/>
    <w:rPr>
      <w:rFonts w:ascii="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9"/>
    <w:locked/>
    <w:rsid w:val="00850AAB"/>
    <w:rPr>
      <w:rFonts w:ascii="Times New Roman" w:hAnsi="Times New Roman" w:cs="Times New Roman"/>
      <w:b/>
      <w:bCs/>
      <w:color w:val="724128"/>
      <w:sz w:val="26"/>
      <w:szCs w:val="26"/>
    </w:rPr>
  </w:style>
  <w:style w:type="character" w:customStyle="1" w:styleId="h22">
    <w:name w:val="h22"/>
    <w:basedOn w:val="DefaultParagraphFont"/>
    <w:uiPriority w:val="99"/>
    <w:rsid w:val="00644BD3"/>
    <w:rPr>
      <w:rFonts w:cs="Times New Roman"/>
      <w:b/>
      <w:bCs/>
    </w:rPr>
  </w:style>
  <w:style w:type="paragraph" w:styleId="NormalWeb">
    <w:name w:val="Normal (Web)"/>
    <w:basedOn w:val="Normal"/>
    <w:uiPriority w:val="99"/>
    <w:semiHidden/>
    <w:rsid w:val="00850AAB"/>
    <w:pPr>
      <w:suppressAutoHyphens w:val="0"/>
      <w:spacing w:before="100" w:beforeAutospacing="1" w:after="100" w:afterAutospacing="1"/>
    </w:pPr>
    <w:rPr>
      <w:rFonts w:ascii="Times New Roman" w:eastAsia="Times New Roman" w:hAnsi="Times New Roman" w:cs="Times New Roman"/>
      <w:sz w:val="24"/>
      <w:szCs w:val="24"/>
      <w:lang w:eastAsia="en-US"/>
    </w:rPr>
  </w:style>
  <w:style w:type="character" w:customStyle="1" w:styleId="highlight">
    <w:name w:val="highlight"/>
    <w:basedOn w:val="DefaultParagraphFont"/>
    <w:uiPriority w:val="99"/>
    <w:rsid w:val="00850AAB"/>
    <w:rPr>
      <w:rFonts w:cs="Times New Roman"/>
    </w:rPr>
  </w:style>
  <w:style w:type="paragraph" w:styleId="PlainText">
    <w:name w:val="Plain Text"/>
    <w:basedOn w:val="Normal"/>
    <w:link w:val="PlainTextChar"/>
    <w:uiPriority w:val="99"/>
    <w:rsid w:val="00DF4128"/>
    <w:pPr>
      <w:suppressAutoHyphens w:val="0"/>
    </w:pPr>
    <w:rPr>
      <w:rFonts w:ascii="Consolas" w:hAnsi="Consolas" w:cs="Consolas"/>
      <w:sz w:val="21"/>
      <w:szCs w:val="21"/>
      <w:lang w:eastAsia="en-US"/>
    </w:rPr>
  </w:style>
  <w:style w:type="character" w:customStyle="1" w:styleId="PlainTextChar">
    <w:name w:val="Plain Text Char"/>
    <w:basedOn w:val="DefaultParagraphFont"/>
    <w:link w:val="PlainText"/>
    <w:uiPriority w:val="99"/>
    <w:locked/>
    <w:rsid w:val="00DF4128"/>
    <w:rPr>
      <w:rFonts w:ascii="Consolas" w:hAnsi="Consolas" w:cs="Consolas"/>
      <w:sz w:val="21"/>
      <w:szCs w:val="21"/>
    </w:rPr>
  </w:style>
  <w:style w:type="table" w:styleId="TableGrid">
    <w:name w:val="Table Grid"/>
    <w:basedOn w:val="TableNormal"/>
    <w:uiPriority w:val="99"/>
    <w:rsid w:val="000D7383"/>
    <w:pPr>
      <w:spacing w:before="100" w:beforeAutospacing="1" w:after="100" w:afterAutospacing="1"/>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C74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74AF"/>
    <w:rPr>
      <w:rFonts w:ascii="Tahoma" w:eastAsia="Times New Roman" w:hAnsi="Tahoma" w:cs="Tahoma"/>
      <w:sz w:val="16"/>
      <w:szCs w:val="16"/>
      <w:lang w:eastAsia="ar-SA" w:bidi="ar-SA"/>
    </w:rPr>
  </w:style>
  <w:style w:type="paragraph" w:styleId="EndnoteText">
    <w:name w:val="endnote text"/>
    <w:basedOn w:val="Normal"/>
    <w:link w:val="EndnoteTextChar"/>
    <w:uiPriority w:val="99"/>
    <w:semiHidden/>
    <w:rsid w:val="00F75B27"/>
    <w:rPr>
      <w:sz w:val="20"/>
      <w:szCs w:val="20"/>
    </w:rPr>
  </w:style>
  <w:style w:type="character" w:customStyle="1" w:styleId="EndnoteTextChar">
    <w:name w:val="Endnote Text Char"/>
    <w:basedOn w:val="DefaultParagraphFont"/>
    <w:link w:val="EndnoteText"/>
    <w:uiPriority w:val="99"/>
    <w:semiHidden/>
    <w:locked/>
    <w:rsid w:val="00F75B27"/>
    <w:rPr>
      <w:rFonts w:ascii="Calibri" w:eastAsia="Times New Roman" w:hAnsi="Calibri" w:cs="Calibri"/>
      <w:sz w:val="20"/>
      <w:szCs w:val="20"/>
      <w:lang w:eastAsia="ar-SA" w:bidi="ar-SA"/>
    </w:rPr>
  </w:style>
  <w:style w:type="character" w:styleId="EndnoteReference">
    <w:name w:val="endnote reference"/>
    <w:basedOn w:val="DefaultParagraphFont"/>
    <w:uiPriority w:val="99"/>
    <w:semiHidden/>
    <w:rsid w:val="00F75B27"/>
    <w:rPr>
      <w:rFonts w:cs="Times New Roman"/>
      <w:vertAlign w:val="superscript"/>
    </w:rPr>
  </w:style>
  <w:style w:type="paragraph" w:styleId="FootnoteText">
    <w:name w:val="footnote text"/>
    <w:basedOn w:val="Normal"/>
    <w:link w:val="FootnoteTextChar"/>
    <w:uiPriority w:val="99"/>
    <w:semiHidden/>
    <w:rsid w:val="00F75B27"/>
    <w:rPr>
      <w:sz w:val="20"/>
      <w:szCs w:val="20"/>
    </w:rPr>
  </w:style>
  <w:style w:type="character" w:customStyle="1" w:styleId="FootnoteTextChar">
    <w:name w:val="Footnote Text Char"/>
    <w:basedOn w:val="DefaultParagraphFont"/>
    <w:link w:val="FootnoteText"/>
    <w:uiPriority w:val="99"/>
    <w:semiHidden/>
    <w:locked/>
    <w:rsid w:val="00F75B27"/>
    <w:rPr>
      <w:rFonts w:ascii="Calibri" w:eastAsia="Times New Roman" w:hAnsi="Calibri" w:cs="Calibri"/>
      <w:sz w:val="20"/>
      <w:szCs w:val="20"/>
      <w:lang w:eastAsia="ar-SA" w:bidi="ar-SA"/>
    </w:rPr>
  </w:style>
  <w:style w:type="character" w:styleId="FootnoteReference">
    <w:name w:val="footnote reference"/>
    <w:basedOn w:val="DefaultParagraphFont"/>
    <w:uiPriority w:val="99"/>
    <w:semiHidden/>
    <w:rsid w:val="00F75B27"/>
    <w:rPr>
      <w:rFonts w:cs="Times New Roman"/>
      <w:vertAlign w:val="superscript"/>
    </w:rPr>
  </w:style>
  <w:style w:type="character" w:styleId="Hyperlink">
    <w:name w:val="Hyperlink"/>
    <w:basedOn w:val="DefaultParagraphFont"/>
    <w:uiPriority w:val="99"/>
    <w:unhideWhenUsed/>
    <w:rsid w:val="004B16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6584381">
      <w:marLeft w:val="0"/>
      <w:marRight w:val="0"/>
      <w:marTop w:val="0"/>
      <w:marBottom w:val="0"/>
      <w:divBdr>
        <w:top w:val="none" w:sz="0" w:space="0" w:color="auto"/>
        <w:left w:val="none" w:sz="0" w:space="0" w:color="auto"/>
        <w:bottom w:val="none" w:sz="0" w:space="0" w:color="auto"/>
        <w:right w:val="none" w:sz="0" w:space="0" w:color="auto"/>
      </w:divBdr>
      <w:divsChild>
        <w:div w:id="1446584404">
          <w:marLeft w:val="0"/>
          <w:marRight w:val="1"/>
          <w:marTop w:val="0"/>
          <w:marBottom w:val="0"/>
          <w:divBdr>
            <w:top w:val="none" w:sz="0" w:space="0" w:color="auto"/>
            <w:left w:val="none" w:sz="0" w:space="0" w:color="auto"/>
            <w:bottom w:val="none" w:sz="0" w:space="0" w:color="auto"/>
            <w:right w:val="none" w:sz="0" w:space="0" w:color="auto"/>
          </w:divBdr>
          <w:divsChild>
            <w:div w:id="1446584395">
              <w:marLeft w:val="0"/>
              <w:marRight w:val="0"/>
              <w:marTop w:val="0"/>
              <w:marBottom w:val="0"/>
              <w:divBdr>
                <w:top w:val="none" w:sz="0" w:space="0" w:color="auto"/>
                <w:left w:val="none" w:sz="0" w:space="0" w:color="auto"/>
                <w:bottom w:val="none" w:sz="0" w:space="0" w:color="auto"/>
                <w:right w:val="none" w:sz="0" w:space="0" w:color="auto"/>
              </w:divBdr>
              <w:divsChild>
                <w:div w:id="1446584405">
                  <w:marLeft w:val="0"/>
                  <w:marRight w:val="1"/>
                  <w:marTop w:val="0"/>
                  <w:marBottom w:val="0"/>
                  <w:divBdr>
                    <w:top w:val="none" w:sz="0" w:space="0" w:color="auto"/>
                    <w:left w:val="none" w:sz="0" w:space="0" w:color="auto"/>
                    <w:bottom w:val="none" w:sz="0" w:space="0" w:color="auto"/>
                    <w:right w:val="none" w:sz="0" w:space="0" w:color="auto"/>
                  </w:divBdr>
                  <w:divsChild>
                    <w:div w:id="1446584406">
                      <w:marLeft w:val="0"/>
                      <w:marRight w:val="0"/>
                      <w:marTop w:val="0"/>
                      <w:marBottom w:val="0"/>
                      <w:divBdr>
                        <w:top w:val="none" w:sz="0" w:space="0" w:color="auto"/>
                        <w:left w:val="none" w:sz="0" w:space="0" w:color="auto"/>
                        <w:bottom w:val="none" w:sz="0" w:space="0" w:color="auto"/>
                        <w:right w:val="none" w:sz="0" w:space="0" w:color="auto"/>
                      </w:divBdr>
                      <w:divsChild>
                        <w:div w:id="1446584416">
                          <w:marLeft w:val="0"/>
                          <w:marRight w:val="0"/>
                          <w:marTop w:val="0"/>
                          <w:marBottom w:val="0"/>
                          <w:divBdr>
                            <w:top w:val="none" w:sz="0" w:space="0" w:color="auto"/>
                            <w:left w:val="none" w:sz="0" w:space="0" w:color="auto"/>
                            <w:bottom w:val="none" w:sz="0" w:space="0" w:color="auto"/>
                            <w:right w:val="none" w:sz="0" w:space="0" w:color="auto"/>
                          </w:divBdr>
                          <w:divsChild>
                            <w:div w:id="1446584419">
                              <w:marLeft w:val="0"/>
                              <w:marRight w:val="0"/>
                              <w:marTop w:val="120"/>
                              <w:marBottom w:val="360"/>
                              <w:divBdr>
                                <w:top w:val="none" w:sz="0" w:space="0" w:color="auto"/>
                                <w:left w:val="none" w:sz="0" w:space="0" w:color="auto"/>
                                <w:bottom w:val="none" w:sz="0" w:space="0" w:color="auto"/>
                                <w:right w:val="none" w:sz="0" w:space="0" w:color="auto"/>
                              </w:divBdr>
                              <w:divsChild>
                                <w:div w:id="1446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584382">
      <w:marLeft w:val="0"/>
      <w:marRight w:val="0"/>
      <w:marTop w:val="0"/>
      <w:marBottom w:val="0"/>
      <w:divBdr>
        <w:top w:val="none" w:sz="0" w:space="0" w:color="auto"/>
        <w:left w:val="none" w:sz="0" w:space="0" w:color="auto"/>
        <w:bottom w:val="none" w:sz="0" w:space="0" w:color="auto"/>
        <w:right w:val="none" w:sz="0" w:space="0" w:color="auto"/>
      </w:divBdr>
    </w:div>
    <w:div w:id="1446584385">
      <w:marLeft w:val="0"/>
      <w:marRight w:val="0"/>
      <w:marTop w:val="0"/>
      <w:marBottom w:val="0"/>
      <w:divBdr>
        <w:top w:val="none" w:sz="0" w:space="0" w:color="auto"/>
        <w:left w:val="none" w:sz="0" w:space="0" w:color="auto"/>
        <w:bottom w:val="none" w:sz="0" w:space="0" w:color="auto"/>
        <w:right w:val="none" w:sz="0" w:space="0" w:color="auto"/>
      </w:divBdr>
      <w:divsChild>
        <w:div w:id="1446584401">
          <w:marLeft w:val="0"/>
          <w:marRight w:val="1"/>
          <w:marTop w:val="0"/>
          <w:marBottom w:val="0"/>
          <w:divBdr>
            <w:top w:val="none" w:sz="0" w:space="0" w:color="auto"/>
            <w:left w:val="none" w:sz="0" w:space="0" w:color="auto"/>
            <w:bottom w:val="none" w:sz="0" w:space="0" w:color="auto"/>
            <w:right w:val="none" w:sz="0" w:space="0" w:color="auto"/>
          </w:divBdr>
          <w:divsChild>
            <w:div w:id="1446584397">
              <w:marLeft w:val="0"/>
              <w:marRight w:val="0"/>
              <w:marTop w:val="0"/>
              <w:marBottom w:val="0"/>
              <w:divBdr>
                <w:top w:val="none" w:sz="0" w:space="0" w:color="auto"/>
                <w:left w:val="none" w:sz="0" w:space="0" w:color="auto"/>
                <w:bottom w:val="none" w:sz="0" w:space="0" w:color="auto"/>
                <w:right w:val="none" w:sz="0" w:space="0" w:color="auto"/>
              </w:divBdr>
              <w:divsChild>
                <w:div w:id="1446584380">
                  <w:marLeft w:val="0"/>
                  <w:marRight w:val="1"/>
                  <w:marTop w:val="0"/>
                  <w:marBottom w:val="0"/>
                  <w:divBdr>
                    <w:top w:val="none" w:sz="0" w:space="0" w:color="auto"/>
                    <w:left w:val="none" w:sz="0" w:space="0" w:color="auto"/>
                    <w:bottom w:val="none" w:sz="0" w:space="0" w:color="auto"/>
                    <w:right w:val="none" w:sz="0" w:space="0" w:color="auto"/>
                  </w:divBdr>
                  <w:divsChild>
                    <w:div w:id="1446584379">
                      <w:marLeft w:val="0"/>
                      <w:marRight w:val="0"/>
                      <w:marTop w:val="0"/>
                      <w:marBottom w:val="0"/>
                      <w:divBdr>
                        <w:top w:val="none" w:sz="0" w:space="0" w:color="auto"/>
                        <w:left w:val="none" w:sz="0" w:space="0" w:color="auto"/>
                        <w:bottom w:val="none" w:sz="0" w:space="0" w:color="auto"/>
                        <w:right w:val="none" w:sz="0" w:space="0" w:color="auto"/>
                      </w:divBdr>
                      <w:divsChild>
                        <w:div w:id="1446584414">
                          <w:marLeft w:val="0"/>
                          <w:marRight w:val="0"/>
                          <w:marTop w:val="0"/>
                          <w:marBottom w:val="0"/>
                          <w:divBdr>
                            <w:top w:val="none" w:sz="0" w:space="0" w:color="auto"/>
                            <w:left w:val="none" w:sz="0" w:space="0" w:color="auto"/>
                            <w:bottom w:val="none" w:sz="0" w:space="0" w:color="auto"/>
                            <w:right w:val="none" w:sz="0" w:space="0" w:color="auto"/>
                          </w:divBdr>
                          <w:divsChild>
                            <w:div w:id="1446584418">
                              <w:marLeft w:val="0"/>
                              <w:marRight w:val="0"/>
                              <w:marTop w:val="120"/>
                              <w:marBottom w:val="360"/>
                              <w:divBdr>
                                <w:top w:val="none" w:sz="0" w:space="0" w:color="auto"/>
                                <w:left w:val="none" w:sz="0" w:space="0" w:color="auto"/>
                                <w:bottom w:val="none" w:sz="0" w:space="0" w:color="auto"/>
                                <w:right w:val="none" w:sz="0" w:space="0" w:color="auto"/>
                              </w:divBdr>
                              <w:divsChild>
                                <w:div w:id="1446584393">
                                  <w:marLeft w:val="0"/>
                                  <w:marRight w:val="0"/>
                                  <w:marTop w:val="0"/>
                                  <w:marBottom w:val="0"/>
                                  <w:divBdr>
                                    <w:top w:val="none" w:sz="0" w:space="0" w:color="auto"/>
                                    <w:left w:val="none" w:sz="0" w:space="0" w:color="auto"/>
                                    <w:bottom w:val="none" w:sz="0" w:space="0" w:color="auto"/>
                                    <w:right w:val="none" w:sz="0" w:space="0" w:color="auto"/>
                                  </w:divBdr>
                                </w:div>
                                <w:div w:id="1446584394">
                                  <w:marLeft w:val="0"/>
                                  <w:marRight w:val="0"/>
                                  <w:marTop w:val="0"/>
                                  <w:marBottom w:val="0"/>
                                  <w:divBdr>
                                    <w:top w:val="none" w:sz="0" w:space="0" w:color="auto"/>
                                    <w:left w:val="none" w:sz="0" w:space="0" w:color="auto"/>
                                    <w:bottom w:val="none" w:sz="0" w:space="0" w:color="auto"/>
                                    <w:right w:val="none" w:sz="0" w:space="0" w:color="auto"/>
                                  </w:divBdr>
                                </w:div>
                                <w:div w:id="14465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584386">
      <w:marLeft w:val="0"/>
      <w:marRight w:val="0"/>
      <w:marTop w:val="0"/>
      <w:marBottom w:val="0"/>
      <w:divBdr>
        <w:top w:val="none" w:sz="0" w:space="0" w:color="auto"/>
        <w:left w:val="none" w:sz="0" w:space="0" w:color="auto"/>
        <w:bottom w:val="none" w:sz="0" w:space="0" w:color="auto"/>
        <w:right w:val="none" w:sz="0" w:space="0" w:color="auto"/>
      </w:divBdr>
      <w:divsChild>
        <w:div w:id="1446584411">
          <w:marLeft w:val="0"/>
          <w:marRight w:val="1"/>
          <w:marTop w:val="0"/>
          <w:marBottom w:val="0"/>
          <w:divBdr>
            <w:top w:val="none" w:sz="0" w:space="0" w:color="auto"/>
            <w:left w:val="none" w:sz="0" w:space="0" w:color="auto"/>
            <w:bottom w:val="none" w:sz="0" w:space="0" w:color="auto"/>
            <w:right w:val="none" w:sz="0" w:space="0" w:color="auto"/>
          </w:divBdr>
          <w:divsChild>
            <w:div w:id="1446584387">
              <w:marLeft w:val="0"/>
              <w:marRight w:val="0"/>
              <w:marTop w:val="0"/>
              <w:marBottom w:val="0"/>
              <w:divBdr>
                <w:top w:val="none" w:sz="0" w:space="0" w:color="auto"/>
                <w:left w:val="none" w:sz="0" w:space="0" w:color="auto"/>
                <w:bottom w:val="none" w:sz="0" w:space="0" w:color="auto"/>
                <w:right w:val="none" w:sz="0" w:space="0" w:color="auto"/>
              </w:divBdr>
              <w:divsChild>
                <w:div w:id="1446584396">
                  <w:marLeft w:val="0"/>
                  <w:marRight w:val="1"/>
                  <w:marTop w:val="0"/>
                  <w:marBottom w:val="0"/>
                  <w:divBdr>
                    <w:top w:val="none" w:sz="0" w:space="0" w:color="auto"/>
                    <w:left w:val="none" w:sz="0" w:space="0" w:color="auto"/>
                    <w:bottom w:val="none" w:sz="0" w:space="0" w:color="auto"/>
                    <w:right w:val="none" w:sz="0" w:space="0" w:color="auto"/>
                  </w:divBdr>
                  <w:divsChild>
                    <w:div w:id="1446584402">
                      <w:marLeft w:val="0"/>
                      <w:marRight w:val="0"/>
                      <w:marTop w:val="0"/>
                      <w:marBottom w:val="0"/>
                      <w:divBdr>
                        <w:top w:val="none" w:sz="0" w:space="0" w:color="auto"/>
                        <w:left w:val="none" w:sz="0" w:space="0" w:color="auto"/>
                        <w:bottom w:val="none" w:sz="0" w:space="0" w:color="auto"/>
                        <w:right w:val="none" w:sz="0" w:space="0" w:color="auto"/>
                      </w:divBdr>
                      <w:divsChild>
                        <w:div w:id="1446584407">
                          <w:marLeft w:val="0"/>
                          <w:marRight w:val="0"/>
                          <w:marTop w:val="0"/>
                          <w:marBottom w:val="0"/>
                          <w:divBdr>
                            <w:top w:val="none" w:sz="0" w:space="0" w:color="auto"/>
                            <w:left w:val="none" w:sz="0" w:space="0" w:color="auto"/>
                            <w:bottom w:val="none" w:sz="0" w:space="0" w:color="auto"/>
                            <w:right w:val="none" w:sz="0" w:space="0" w:color="auto"/>
                          </w:divBdr>
                          <w:divsChild>
                            <w:div w:id="1446584409">
                              <w:marLeft w:val="0"/>
                              <w:marRight w:val="0"/>
                              <w:marTop w:val="120"/>
                              <w:marBottom w:val="360"/>
                              <w:divBdr>
                                <w:top w:val="none" w:sz="0" w:space="0" w:color="auto"/>
                                <w:left w:val="none" w:sz="0" w:space="0" w:color="auto"/>
                                <w:bottom w:val="none" w:sz="0" w:space="0" w:color="auto"/>
                                <w:right w:val="none" w:sz="0" w:space="0" w:color="auto"/>
                              </w:divBdr>
                              <w:divsChild>
                                <w:div w:id="1446584383">
                                  <w:marLeft w:val="0"/>
                                  <w:marRight w:val="0"/>
                                  <w:marTop w:val="0"/>
                                  <w:marBottom w:val="0"/>
                                  <w:divBdr>
                                    <w:top w:val="none" w:sz="0" w:space="0" w:color="auto"/>
                                    <w:left w:val="none" w:sz="0" w:space="0" w:color="auto"/>
                                    <w:bottom w:val="none" w:sz="0" w:space="0" w:color="auto"/>
                                    <w:right w:val="none" w:sz="0" w:space="0" w:color="auto"/>
                                  </w:divBdr>
                                </w:div>
                                <w:div w:id="1446584390">
                                  <w:marLeft w:val="0"/>
                                  <w:marRight w:val="0"/>
                                  <w:marTop w:val="0"/>
                                  <w:marBottom w:val="0"/>
                                  <w:divBdr>
                                    <w:top w:val="none" w:sz="0" w:space="0" w:color="auto"/>
                                    <w:left w:val="none" w:sz="0" w:space="0" w:color="auto"/>
                                    <w:bottom w:val="none" w:sz="0" w:space="0" w:color="auto"/>
                                    <w:right w:val="none" w:sz="0" w:space="0" w:color="auto"/>
                                  </w:divBdr>
                                </w:div>
                                <w:div w:id="14465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584388">
      <w:marLeft w:val="0"/>
      <w:marRight w:val="0"/>
      <w:marTop w:val="0"/>
      <w:marBottom w:val="0"/>
      <w:divBdr>
        <w:top w:val="none" w:sz="0" w:space="0" w:color="auto"/>
        <w:left w:val="none" w:sz="0" w:space="0" w:color="auto"/>
        <w:bottom w:val="none" w:sz="0" w:space="0" w:color="auto"/>
        <w:right w:val="none" w:sz="0" w:space="0" w:color="auto"/>
      </w:divBdr>
    </w:div>
    <w:div w:id="1446584391">
      <w:marLeft w:val="0"/>
      <w:marRight w:val="0"/>
      <w:marTop w:val="0"/>
      <w:marBottom w:val="0"/>
      <w:divBdr>
        <w:top w:val="none" w:sz="0" w:space="0" w:color="auto"/>
        <w:left w:val="none" w:sz="0" w:space="0" w:color="auto"/>
        <w:bottom w:val="none" w:sz="0" w:space="0" w:color="auto"/>
        <w:right w:val="none" w:sz="0" w:space="0" w:color="auto"/>
      </w:divBdr>
    </w:div>
    <w:div w:id="1446584399">
      <w:marLeft w:val="0"/>
      <w:marRight w:val="0"/>
      <w:marTop w:val="0"/>
      <w:marBottom w:val="0"/>
      <w:divBdr>
        <w:top w:val="none" w:sz="0" w:space="0" w:color="auto"/>
        <w:left w:val="none" w:sz="0" w:space="0" w:color="auto"/>
        <w:bottom w:val="none" w:sz="0" w:space="0" w:color="auto"/>
        <w:right w:val="none" w:sz="0" w:space="0" w:color="auto"/>
      </w:divBdr>
    </w:div>
    <w:div w:id="1446584403">
      <w:marLeft w:val="0"/>
      <w:marRight w:val="0"/>
      <w:marTop w:val="0"/>
      <w:marBottom w:val="0"/>
      <w:divBdr>
        <w:top w:val="none" w:sz="0" w:space="0" w:color="auto"/>
        <w:left w:val="none" w:sz="0" w:space="0" w:color="auto"/>
        <w:bottom w:val="none" w:sz="0" w:space="0" w:color="auto"/>
        <w:right w:val="none" w:sz="0" w:space="0" w:color="auto"/>
      </w:divBdr>
    </w:div>
    <w:div w:id="1446584412">
      <w:marLeft w:val="0"/>
      <w:marRight w:val="0"/>
      <w:marTop w:val="0"/>
      <w:marBottom w:val="0"/>
      <w:divBdr>
        <w:top w:val="none" w:sz="0" w:space="0" w:color="auto"/>
        <w:left w:val="none" w:sz="0" w:space="0" w:color="auto"/>
        <w:bottom w:val="none" w:sz="0" w:space="0" w:color="auto"/>
        <w:right w:val="none" w:sz="0" w:space="0" w:color="auto"/>
      </w:divBdr>
    </w:div>
    <w:div w:id="1446584420">
      <w:marLeft w:val="0"/>
      <w:marRight w:val="0"/>
      <w:marTop w:val="0"/>
      <w:marBottom w:val="0"/>
      <w:divBdr>
        <w:top w:val="none" w:sz="0" w:space="0" w:color="auto"/>
        <w:left w:val="none" w:sz="0" w:space="0" w:color="auto"/>
        <w:bottom w:val="none" w:sz="0" w:space="0" w:color="auto"/>
        <w:right w:val="none" w:sz="0" w:space="0" w:color="auto"/>
      </w:divBdr>
    </w:div>
    <w:div w:id="1446584421">
      <w:marLeft w:val="0"/>
      <w:marRight w:val="0"/>
      <w:marTop w:val="0"/>
      <w:marBottom w:val="0"/>
      <w:divBdr>
        <w:top w:val="none" w:sz="0" w:space="0" w:color="auto"/>
        <w:left w:val="none" w:sz="0" w:space="0" w:color="auto"/>
        <w:bottom w:val="none" w:sz="0" w:space="0" w:color="auto"/>
        <w:right w:val="none" w:sz="0" w:space="0" w:color="auto"/>
      </w:divBdr>
      <w:divsChild>
        <w:div w:id="1446584384">
          <w:marLeft w:val="0"/>
          <w:marRight w:val="1"/>
          <w:marTop w:val="0"/>
          <w:marBottom w:val="0"/>
          <w:divBdr>
            <w:top w:val="none" w:sz="0" w:space="0" w:color="auto"/>
            <w:left w:val="none" w:sz="0" w:space="0" w:color="auto"/>
            <w:bottom w:val="none" w:sz="0" w:space="0" w:color="auto"/>
            <w:right w:val="none" w:sz="0" w:space="0" w:color="auto"/>
          </w:divBdr>
          <w:divsChild>
            <w:div w:id="1446584398">
              <w:marLeft w:val="0"/>
              <w:marRight w:val="0"/>
              <w:marTop w:val="0"/>
              <w:marBottom w:val="0"/>
              <w:divBdr>
                <w:top w:val="none" w:sz="0" w:space="0" w:color="auto"/>
                <w:left w:val="none" w:sz="0" w:space="0" w:color="auto"/>
                <w:bottom w:val="none" w:sz="0" w:space="0" w:color="auto"/>
                <w:right w:val="none" w:sz="0" w:space="0" w:color="auto"/>
              </w:divBdr>
              <w:divsChild>
                <w:div w:id="1446584415">
                  <w:marLeft w:val="0"/>
                  <w:marRight w:val="1"/>
                  <w:marTop w:val="0"/>
                  <w:marBottom w:val="0"/>
                  <w:divBdr>
                    <w:top w:val="none" w:sz="0" w:space="0" w:color="auto"/>
                    <w:left w:val="none" w:sz="0" w:space="0" w:color="auto"/>
                    <w:bottom w:val="none" w:sz="0" w:space="0" w:color="auto"/>
                    <w:right w:val="none" w:sz="0" w:space="0" w:color="auto"/>
                  </w:divBdr>
                  <w:divsChild>
                    <w:div w:id="1446584400">
                      <w:marLeft w:val="0"/>
                      <w:marRight w:val="0"/>
                      <w:marTop w:val="0"/>
                      <w:marBottom w:val="0"/>
                      <w:divBdr>
                        <w:top w:val="none" w:sz="0" w:space="0" w:color="auto"/>
                        <w:left w:val="none" w:sz="0" w:space="0" w:color="auto"/>
                        <w:bottom w:val="none" w:sz="0" w:space="0" w:color="auto"/>
                        <w:right w:val="none" w:sz="0" w:space="0" w:color="auto"/>
                      </w:divBdr>
                      <w:divsChild>
                        <w:div w:id="1446584417">
                          <w:marLeft w:val="0"/>
                          <w:marRight w:val="0"/>
                          <w:marTop w:val="0"/>
                          <w:marBottom w:val="0"/>
                          <w:divBdr>
                            <w:top w:val="none" w:sz="0" w:space="0" w:color="auto"/>
                            <w:left w:val="none" w:sz="0" w:space="0" w:color="auto"/>
                            <w:bottom w:val="none" w:sz="0" w:space="0" w:color="auto"/>
                            <w:right w:val="none" w:sz="0" w:space="0" w:color="auto"/>
                          </w:divBdr>
                          <w:divsChild>
                            <w:div w:id="1446584389">
                              <w:marLeft w:val="0"/>
                              <w:marRight w:val="0"/>
                              <w:marTop w:val="120"/>
                              <w:marBottom w:val="360"/>
                              <w:divBdr>
                                <w:top w:val="none" w:sz="0" w:space="0" w:color="auto"/>
                                <w:left w:val="none" w:sz="0" w:space="0" w:color="auto"/>
                                <w:bottom w:val="none" w:sz="0" w:space="0" w:color="auto"/>
                                <w:right w:val="none" w:sz="0" w:space="0" w:color="auto"/>
                              </w:divBdr>
                              <w:divsChild>
                                <w:div w:id="14465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Mitchell@umassmemorial.org" TargetMode="External"/><Relationship Id="rId13" Type="http://schemas.openxmlformats.org/officeDocument/2006/relationships/hyperlink" Target="http://www.ncbi.nlm.nih.gov/pubmed/?term=fatal+hyperammonemic+brain+injury+from+valproic+acid" TargetMode="External"/><Relationship Id="rId18" Type="http://schemas.openxmlformats.org/officeDocument/2006/relationships/hyperlink" Target="http://www.ncbi.nlm.nih.gov/pubmed?term=Lee%20B%5BAuthor%5D&amp;cauthor=true&amp;cauthor_uid=1622711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ncbi.nlm.nih.gov/pubmed?term=Sniderman%20King%20L%5BAuthor%5D&amp;cauthor=true&amp;cauthor_uid=16227115" TargetMode="External"/><Relationship Id="rId7" Type="http://schemas.openxmlformats.org/officeDocument/2006/relationships/hyperlink" Target="mailto:makhijma@hotmail.com" TargetMode="External"/><Relationship Id="rId12" Type="http://schemas.openxmlformats.org/officeDocument/2006/relationships/image" Target="media/image4.png"/><Relationship Id="rId17" Type="http://schemas.openxmlformats.org/officeDocument/2006/relationships/hyperlink" Target="http://www.ncbi.nlm.nih.gov/pubmed?term=Kishnani%20PS%5BAuthor%5D&amp;cauthor=true&amp;cauthor_uid=16227115"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cbi.nlm.nih.gov/pubmed?term=Smith%20W%5BAuthor%5D&amp;cauthor=true&amp;cauthor_uid=16227115" TargetMode="External"/><Relationship Id="rId20" Type="http://schemas.openxmlformats.org/officeDocument/2006/relationships/hyperlink" Target="http://www.ncbi.nlm.nih.gov/pubmed?term=Rhead%20WJ%5BAuthor%5D&amp;cauthor=true&amp;cauthor_uid=16227115" TargetMode="External"/><Relationship Id="rId1" Type="http://schemas.openxmlformats.org/officeDocument/2006/relationships/styles" Target="styles.xml"/><Relationship Id="rId6" Type="http://schemas.openxmlformats.org/officeDocument/2006/relationships/hyperlink" Target="mailto:Christopher.Perrone@umassmed.edu" TargetMode="External"/><Relationship Id="rId11" Type="http://schemas.openxmlformats.org/officeDocument/2006/relationships/image" Target="media/image3.jpeg"/><Relationship Id="rId24" Type="http://schemas.openxmlformats.org/officeDocument/2006/relationships/hyperlink" Target="http://www.ncbi.nlm.nih.gov/pubmed/16227115" TargetMode="External"/><Relationship Id="rId5" Type="http://schemas.openxmlformats.org/officeDocument/2006/relationships/endnotes" Target="endnotes.xml"/><Relationship Id="rId15" Type="http://schemas.openxmlformats.org/officeDocument/2006/relationships/hyperlink" Target="http://www.ncbi.nlm.nih.gov/pubmed/?term=Early+clinical+manifestations+and+eating+patterns+in+patients+with+urea+cycle+disorders." TargetMode="External"/><Relationship Id="rId23" Type="http://schemas.openxmlformats.org/officeDocument/2006/relationships/hyperlink" Target="http://www.ncbi.nlm.nih.gov/pubmed?term=Summar%20M%5BAuthor%5D&amp;cauthor=true&amp;cauthor_uid=16227115" TargetMode="External"/><Relationship Id="rId10" Type="http://schemas.openxmlformats.org/officeDocument/2006/relationships/image" Target="media/image2.png"/><Relationship Id="rId19" Type="http://schemas.openxmlformats.org/officeDocument/2006/relationships/hyperlink" Target="http://www.ncbi.nlm.nih.gov/pubmed?term=Singh%20RH%5BAuthor%5D&amp;cauthor=true&amp;cauthor_uid=16227115"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ncbi.nlm.nih.gov/pubmed/18071043" TargetMode="External"/><Relationship Id="rId22" Type="http://schemas.openxmlformats.org/officeDocument/2006/relationships/hyperlink" Target="http://www.ncbi.nlm.nih.gov/pubmed?term=Smith%20M%5BAuthor%5D&amp;cauthor=true&amp;cauthor_uid=16227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Abstract</vt:lpstr>
    </vt:vector>
  </TitlesOfParts>
  <Company>Vanguard Health Systems New England</Company>
  <LinksUpToDate>false</LinksUpToDate>
  <CharactersWithSpaces>15736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mmakhija</dc:creator>
  <cp:lastModifiedBy>mmakhija</cp:lastModifiedBy>
  <cp:revision>2</cp:revision>
  <dcterms:created xsi:type="dcterms:W3CDTF">2013-08-30T15:42:00Z</dcterms:created>
  <dcterms:modified xsi:type="dcterms:W3CDTF">2013-08-30T15:42:00Z</dcterms:modified>
</cp:coreProperties>
</file>